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p>
      <w:pPr>
        <w:pStyle w:val="TextBody"/>
        <w:bidi w:val="0"/>
        <w:spacing w:before="0" w:after="240"/>
        <w:jc w:val="center"/>
        <w:rPr/>
      </w:pPr>
      <w:r>
        <w:rPr/>
        <w:drawing>
          <wp:inline distT="0" distB="0" distL="0" distR="0">
            <wp:extent cx="9144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7143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GLOBUS MEDICAL, INC.</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27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001-35621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04-3744954</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2560 GENERAL ARMISTEAD AVENUE, AUDUBON, PA 19403-5214</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(610) 930-1800</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73" w:type="dxa"/>
        <w:jc w:val="center"/>
        <w:tblInd w:w="0" w:type="dxa"/>
        <w:tblLayout w:type="fixed"/>
        <w:tblCellMar>
          <w:top w:w="28" w:type="dxa"/>
          <w:left w:w="28" w:type="dxa"/>
          <w:bottom w:w="28" w:type="dxa"/>
          <w:right w:w="28" w:type="dxa"/>
        </w:tblCellMar>
      </w:tblPr>
      <w:tblGrid>
        <w:gridCol w:w="1501"/>
        <w:gridCol w:w="1319"/>
        <w:gridCol w:w="1334"/>
        <w:gridCol w:w="564"/>
        <w:gridCol w:w="564"/>
        <w:gridCol w:w="566"/>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GMED</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August 6, 2026, Globus Medical, Inc. (the “Company”) issued a press release reporting, among other things, its sales and operating results for the three and six month period ended June 30, 2026. A copy of the press release is furnished herewith as Exhibit 99.1 and is incorporated herein by reference.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to Form 8-K, the information included in this Item 2.02, and the exhibit attached hereto, shall be deemed to be “furnished” and shall not be deemed to be “filed” with the Securities and Exchange Commission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09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63"/>
        <w:gridCol w:w="1963"/>
        <w:gridCol w:w="277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med-q22026ex991.htm">
              <w:r>
                <w:rPr>
                  <w:rStyle w:val="InternetLink"/>
                  <w:rFonts w:ascii="Times New Roman;serif" w:hAnsi="Times New Roman;serif"/>
                  <w:b w:val="false"/>
                  <w:color w:val="0000FF"/>
                  <w:sz w:val="20"/>
                  <w:u w:val="single"/>
                </w:rPr>
                <w:t>Press Release dated August 6,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23"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705"/>
        <w:gridCol w:w="705"/>
        <w:gridCol w:w="100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GLOBUS MEDICAL,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 KYLE R. KLINE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Globus Medical Reports Second Quarter 2026 Results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AUDUBON, PA., August 6, 2026: Globus Medical, Inc. (NYSE: GMED), a leading musculoskeletal technology company, today announced its financial results for the second quarter ended June 30,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Worldwide net sales were $789.6 million, an increase of 5.9%, or an increase of 5.6% on a constant currency basis.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net income for the quarter was $151.6 million.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GAAP diluted earnings per share (“EPS”) was $1.10, a decrease of 26.2%, primarily driven by the bargain purchase gain of $110.5 million recognized in the prior year quarter related to the Nevro acquisition. Non-GAAP diluted EPS was $1.34, an increase of 55.8%.</w:t>
      </w:r>
    </w:p>
    <w:p>
      <w:pPr>
        <w:pStyle w:val="TextBody"/>
        <w:bidi w:val="0"/>
        <w:spacing w:lineRule="auto" w:line="288" w:before="0" w:after="200"/>
        <w:jc w:val="both"/>
        <w:rPr>
          <w:color w:val="000000"/>
        </w:rPr>
      </w:pPr>
      <w:r>
        <w:rPr>
          <w:color w:val="000000"/>
        </w:rPr>
        <w:t>“</w:t>
      </w:r>
      <w:r>
        <w:rPr>
          <w:rFonts w:ascii="Times New Roman;serif" w:hAnsi="Times New Roman;serif"/>
          <w:b w:val="false"/>
          <w:color w:val="000000"/>
          <w:sz w:val="20"/>
        </w:rPr>
        <w:t>Momentum continued into the second quarter with 6% overall revenue growth, or 9% growth excluding Nevro, driven by share gains across a majority of our underlying businesses, most notably US Spine, growing 7% and International Spine, growing 14% as-reported and 12% on a constant currency basis,” commented Keith Pfeil, President and Chief Executive Officer. “The depth of our product portfolio and exclusive selling model positions us to lead with innovation and commercial outreach, driving our ability to grow share over the long-term. Our priority remains centered on achieving improved surgical outcomes through the Globus ecosystem, bringing together patient selection, surgical techniques with complementary implants and technology to drive the surgical procedure, through a closed-loop surgical intelligence ecosystem.”</w:t>
      </w:r>
    </w:p>
    <w:p>
      <w:pPr>
        <w:pStyle w:val="TextBody"/>
        <w:bidi w:val="0"/>
        <w:spacing w:lineRule="auto" w:line="288" w:before="0" w:after="200"/>
        <w:jc w:val="both"/>
        <w:rPr>
          <w:color w:val="000000"/>
        </w:rPr>
      </w:pPr>
      <w:r>
        <w:rPr>
          <w:color w:val="000000"/>
        </w:rPr>
        <w:t>“</w:t>
      </w:r>
      <w:r>
        <w:rPr>
          <w:rFonts w:ascii="Times New Roman;serif" w:hAnsi="Times New Roman;serif"/>
          <w:b w:val="false"/>
          <w:color w:val="000000"/>
          <w:sz w:val="20"/>
        </w:rPr>
        <w:t>US Spine, again, led the way in growth for the organization, marking our fifth straight quarter of above-market revenue growth, with continued strength across our entire product portfolio. This broad-based growth, paired with adjusted gross margin expansion of 200 basis points compared to the second quarter of the prior year, drove record second quarter non-GAAP net income and diluted earnings per share,” said Kyle Kline, Chief Financial Officer. “The strength of our second-quarter performance reflects disciplined execution across the business, including margin expansion, operating leverage, and synergy realization, which position us to deliver sustained earnings growth, and enhanced shareholder returns throughout the year.”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Worldwide net sales for the second quarter of 2026 were $789.6 million, an as-reported increase of 5.9% over the second quarter of 2025. U.S. net sales for the second quarter of 2026 increased by 3.0% compared to the second quarter of 2025. International net sales increased by 18.0% over the second quarter of 2025 on an as-reported basis and increased by 16.2% on a constant currency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GAAP net income for the second quarter of 2026 was $151.6 million, a decrease of 25.3% over the same period in the prior year. The decrease in GAAP net income was primarily driven by the bargain purchase gain of $110.5 million recognized in the prior year quarter related to the Nevro acquisition. GAAP diluted EPS for the second quarter was $1.10, compared to $1.49 for the second quarter of 2025, a decrease of 26.2%. Non-GAAP diluted EPS for the second quarter of 2026, which excludes, among other costs, amortization of intangibles, merger and acquisition-related costs, and restructuring-related costs, was $1.34, compared to $0.86 in the second quarter of 2025, an increase of 55.8%.</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2026 Annual Guidance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reaffirms its guidance for full-year 2026 revenue to be in the range of $3.18 billion to $3.22 billion and updates its guidance for non-GAAP fully diluted EPS to be in the range of $4.95 to $5.05 from the previous range of $4.70 to $4.80.</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Globus Medical will hold a teleconference to discuss its 2026 second quarter results with the investment community at 4:30 p.m. Eastern Time today. Participants may access the conference call live via webcast on the Investors page of Globus Medical’s website at http://www.investors.globusmedical.com/news-events/events-webcasts.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participate via telephone, please register in advance at this link. Upon registration, all telephone participants will receive a confirmation email detailing how to join the conference call, including the dial-in number along with a unique passcode and registrant ID that can be used to access the call. The audio archive will be available after the call on the Investor page of the Globus Medical website.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About Globus Medical, Inc.</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Globus Medical, Inc. is a leading global musculoskeletal technology company dedicated to solving unmet clinical needs and changing lives. We innovate with inspired urgency, provide world-class education and clinical support, and advance care throughout spine, orthopedic trauma, joint reconstruction, biomaterials and enabling technologies. Additional information can be accessed at www.globusmedical.com.</w:t>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supplement our financial statements prepared in accordance with U.S. generally accepted accounting principles (“GAAP”), management uses certain non-GAAP financial measures. For example, non-GAAP Adjusted EBITDA, which represents net income before interest income, net and other non-operating expenses, provision for income taxes, depreciation and amortization, stock-based compensation expense, provision for litigation, merger and acquisition related costs, restructuring related costs, certain foreign currency acquisition-related impacts, bargain purchase gains, and gains and losses from strategic investments, is useful as an additional measure of operating performance, and particularly as a measure of comparative operating performance from period to period, as it is reflective of changes in pricing decisions, cost controls and other factors that affect operating performance, and it removes the effect of our capital structure, asset base, income taxes and interest income and expense. We no longer include acquisition of in-process research and development as an adjustment to non-GAAP Adjusted EBITDA. Our management also uses non-GAAP Adjusted EBITDA for planning purposes, including the preparation of our annual operating budget and financial projections. Provision for litigation represents costs incurred for litigation settlements or unfavorable verdicts when the loss is known or considered probable and the amount can be reasonably estimated, or in the case of a favorable settlement, when income is realized. Merger and acquisition related costs represents the change in fair value of business-acquisition-related contingent consideration; costs related to integrating recently acquired businesses, including but not limited to costs to exit or convert contractual obligations, severance, retention bonus, duplicative costs and information system conversion; and specific costs related to the consummation of the acquisition process such as banker fees, legal fees, and other acquisition related professional fees. Restructuring related costs include severance, retention bonus, accelerated stock-based compensation expense, legal and tax fees for legal entity reorganization and costs associated with consolidating facilities. We also adjusted for certain foreign currency impacts related to the acquisition costs and gains/losses on strategic investments within other assets as we believe these impacts are not a measure of our operating performance.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for the period ended June 30, 2026 and for other comparative periods, we are presenting non-GAAP net income and non-GAAP diluted EPS, which represent net income and diluted EPS excluding the provision for litigation, amortization of intangibles, merger and acquisition related costs, restructuring related costs, certain foreign currency impacts, gains and losses from strategic investments, bargain purchase gains, certain income tax net benefits and non-recurring tax adjustments, and the tax effects of all of the foregoing adjustments. We no longer include acquisition of in-process research and development as an adjustment to non-GAAP net income. We also present non-GAAP gross profit, which excludes the impacts of any inventory acquisition-related costs within cost of goods sold. The tax effect adjustment represents the tax effect of the pre-tax non-GAAP adjustments excluded from non-GAAP net income. The tax impact of the non-GAAP adjustments is calculated based on the consolidated effective tax rate on a GAAP basis, applied to the non-GAAP adjustments, unless the underlying item has a materially different tax treatment, in which case the estimated tax rate applicable to the adjustment is used. We believe these non-GAAP measures are also useful indicators of our operating performance, and particularly as additional measures of comparative operating performance from period to period as they remove the effects of the foregoing items, which we believe are not reflective of underlying business trends.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for the period ended June 30, 2026 and for other comparative periods, we also define the non-GAAP measure of free cash flow as the net cash provided by operating activities, adjusted for the impact of restricted cash, less the cash impact of purchases of property and equipment. We believe that this financial measure provides meaningful information for evaluating our overall financial performance for comparative periods as it facilitates an assessment of funds available to satisfy current and future obligations and fund acquisitions. Furthermore, the non-GAAP measure of constant currency net sales growth is calculated by translating current year net sales at the same average exchange rates in effect during the applicable prior year period. We believe constant currency net sales growth provides insight to the comparative increase or decrease in period net sales, in dollar and percentage terms, excluding the effects of fluctuations in foreign currency exchange rates. We are also presenting base business revenue growth, excluding the contribution from Nevro Corp. (“Nevro”), which we acquired in 2025. We believe these provide insight to how the Company is performing without the impact of our most recent acquisition.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Non-GAAP Adjusted EBITDA, non-GAAP net income, non-GAAP diluted EPS, non-GAAP gross profit, free cash flow, constant currency net sales growth, base business revenue growth, and day-adjusted basis sales are not calculated in conformity with GAAP. Non-GAAP financial measures have limitations as analytical tools and should not be considered in isolation or as a substitute for financial measures prepared in accordance with GAAP. These measures do not include certain expenses that may be necessary to evaluate our liquidity or operating results. Our definitions of these non-GAAP measures may differ from that of other companies and therefore may not be comparable. The tables included in this release reconcile the GAAP financial measures to the non-GAAP financial measures discussed above for the three months ended June 30,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unable to present a quantitative reconciliation of our expected fully diluted GAAP EPS to non-GAAP diluted EPS as we are unable to predict with reasonable certainty and without unreasonable effort the impact and timing of provision for litigation, amortization of intangibles, merger and acquisition-related costs, restructuring related costs, certain foreign currency acquisition-related impacts, bargain purchase gains, certain income tax net benefits from non-recurring tax adjustments, gains and losses from strategic investments, and the tax effects of all of the foregoing adjustments. The financial impact of these items is uncertain and is dependent on various factors, including timing, and could be material to our Consolidated Statements of Income.</w:t>
      </w: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Safe Harbor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included in this press release other than statements of historical fact are forward-looking statements and may be identified by their use of words such as “believe,” “may,” “might,” “could,” “will,” “aim,” “estimate,” “continue,” “anticipate,” “intend,” “expect,” “plan” and other similar terms. These forward-looking statements are based on our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 and retain sales and other personnel), our ability to rapidly develop and introduce new products, our ability to develop and execute on successful business strategies, our ability to comply with laws and regulations that are or may become applicable to our businesses, our ability to safeguard our intellectual property, our success in defending legal proceedings brought against us, trends in the medical device industry, general economic conditions, the successful integration of businesses that we have acquired or may acquire in the future, and other risks. For a discussion of these and other risks, uncertainties, and other factors that could affect our results, refer to the disclosures contained in our most recent Annual Report on Form 10-K filed with the U.S. Securities and Exchange Commission (the “SEC”), including the sections labeled “Risk Factors” and “Cautionary Note Concerning Forward-Looking Statements,” and in our subsequent filings with the SEC. These documents are available at www.sec.gov.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 Given these risks and uncertainties, readers are cautioned not to place undue reliance on any forward-looking statements. Forward-looking statements contained in this press release speak only as of the date of this press release. Except as may be required by applicable law, we undertake no obligation to update any forward-looking statements as a result of new information, events or circumstances or other factors arising or coming to our attention after the date hereof. As used herein, the “Company”, “Globus”, “Globus Medical”, “we”, “us”, and “our” refers to Globus Medical,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INCOME</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593"/>
        <w:gridCol w:w="1330"/>
        <w:gridCol w:w="1340"/>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6"/>
      </w:tblGrid>
      <w:tr>
        <w:trPr/>
        <w:tc>
          <w:tcPr>
            <w:tcW w:w="159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789,612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1,549,466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 and Operating 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475,505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72,831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584,598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59,086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332,820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income/(expense), net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346,891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151,569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275,871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 net of tax:</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income/(loss), net of tax</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271,721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135,981</w:t>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137,787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792"/>
        <w:gridCol w:w="2209"/>
        <w:gridCol w:w="2224"/>
        <w:gridCol w:w="211"/>
        <w:gridCol w:w="991"/>
        <w:gridCol w:w="109"/>
        <w:gridCol w:w="109"/>
        <w:gridCol w:w="109"/>
        <w:gridCol w:w="109"/>
        <w:gridCol w:w="211"/>
        <w:gridCol w:w="976"/>
        <w:gridCol w:w="155"/>
      </w:tblGrid>
      <w:tr>
        <w:trPr/>
        <w:tc>
          <w:tcPr>
            <w:tcW w:w="2792"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share and per share values)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507,745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87,397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$44,371 and $33,434,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692,176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810,897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2,215,512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2,125,611 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533,528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692,624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1,438,216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224,627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5,488,258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479,347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498,499 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 net of current portion</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82,113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96,807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tax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719,655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729,511 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Authorized 500,000,000 shares; issued and outstanding 111,822,190 and 112,625,126 shares at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Authorized 275,000,000 shares; issued and outstanding 22,430,097 and 22,430,097 shares at June 30,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3,230,186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1,527,087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4,768,603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5,488,258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STATEMENTS OF CASH FLOWS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178" w:type="dxa"/>
        <w:jc w:val="left"/>
        <w:tblInd w:w="0" w:type="dxa"/>
        <w:tblLayout w:type="fixed"/>
        <w:tblCellMar>
          <w:top w:w="28" w:type="dxa"/>
          <w:left w:w="28" w:type="dxa"/>
          <w:bottom w:w="28" w:type="dxa"/>
          <w:right w:w="28" w:type="dxa"/>
        </w:tblCellMar>
      </w:tblPr>
      <w:tblGrid>
        <w:gridCol w:w="2716"/>
        <w:gridCol w:w="2388"/>
        <w:gridCol w:w="2395"/>
        <w:gridCol w:w="211"/>
        <w:gridCol w:w="841"/>
        <w:gridCol w:w="109"/>
        <w:gridCol w:w="109"/>
        <w:gridCol w:w="109"/>
        <w:gridCol w:w="109"/>
        <w:gridCol w:w="211"/>
        <w:gridCol w:w="826"/>
        <w:gridCol w:w="154"/>
      </w:tblGrid>
      <w:tr>
        <w:trPr/>
        <w:tc>
          <w:tcPr>
            <w:tcW w:w="271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Bargain purchase gain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139,355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 accounting fair value step up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business acquisition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disposal of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from foreign currency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 and purchases of intangible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(311,722)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withholdings for share-based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convertible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increase/(decrease) in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507,745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Supplemental Financial Information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Net Sales by Product Category:</w:t>
      </w:r>
    </w:p>
    <w:tbl>
      <w:tblPr>
        <w:tblW w:w="8205" w:type="dxa"/>
        <w:jc w:val="center"/>
        <w:tblInd w:w="0" w:type="dxa"/>
        <w:tblLayout w:type="fixed"/>
        <w:tblCellMar>
          <w:top w:w="28" w:type="dxa"/>
          <w:left w:w="28" w:type="dxa"/>
          <w:bottom w:w="28" w:type="dxa"/>
          <w:right w:w="28" w:type="dxa"/>
        </w:tblCellMar>
      </w:tblPr>
      <w:tblGrid>
        <w:gridCol w:w="830"/>
        <w:gridCol w:w="730"/>
        <w:gridCol w:w="73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Musculoskeletal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Enabling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Liquidity and Capital Resources:</w:t>
      </w:r>
    </w:p>
    <w:tbl>
      <w:tblPr>
        <w:tblW w:w="7163" w:type="dxa"/>
        <w:jc w:val="left"/>
        <w:tblInd w:w="0" w:type="dxa"/>
        <w:tblLayout w:type="fixed"/>
        <w:tblCellMar>
          <w:top w:w="28" w:type="dxa"/>
          <w:left w:w="28" w:type="dxa"/>
          <w:bottom w:w="28" w:type="dxa"/>
          <w:right w:w="28" w:type="dxa"/>
        </w:tblCellMar>
      </w:tblPr>
      <w:tblGrid>
        <w:gridCol w:w="1630"/>
        <w:gridCol w:w="1432"/>
        <w:gridCol w:w="1437"/>
        <w:gridCol w:w="211"/>
        <w:gridCol w:w="826"/>
        <w:gridCol w:w="109"/>
        <w:gridCol w:w="109"/>
        <w:gridCol w:w="109"/>
        <w:gridCol w:w="109"/>
        <w:gridCol w:w="211"/>
        <w:gridCol w:w="82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shd w:fill="FFFFFF" w:val="clear"/>
              </w:rPr>
            </w:pPr>
            <w:r>
              <w:rPr>
                <w:rFonts w:ascii="Times New Roman;serif" w:hAnsi="Times New Roman;serif"/>
                <w:b/>
                <w:i/>
                <w:color w:val="000000"/>
                <w:sz w:val="16"/>
                <w:shd w:fill="FFFFFF" w:val="clear"/>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following tables reconcile GAAP to non-GAAP financial measures.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Adjusted EBITDA Reconciliation Table:</w:t>
      </w:r>
    </w:p>
    <w:tbl>
      <w:tblPr>
        <w:tblW w:w="10125" w:type="dxa"/>
        <w:jc w:val="center"/>
        <w:tblInd w:w="0" w:type="dxa"/>
        <w:tblLayout w:type="fixed"/>
        <w:tblCellMar>
          <w:top w:w="28" w:type="dxa"/>
          <w:left w:w="28" w:type="dxa"/>
          <w:bottom w:w="28" w:type="dxa"/>
          <w:right w:w="28" w:type="dxa"/>
        </w:tblCellMar>
      </w:tblPr>
      <w:tblGrid>
        <w:gridCol w:w="1633"/>
        <w:gridCol w:w="1435"/>
        <w:gridCol w:w="144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Merger and acquisition-related costs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strategic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as a percentage of 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net sales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r>
    </w:tbl>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(1)Merger and acquisition-related costs represent certain costs associated with acquisitions. These costs, presented on a before-tax effect basis, are included in Non-GAAP Merger and Acquisition-related Costs Table.</w:t>
      </w: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Merger and Acquisition-related Costs Table:</w:t>
      </w:r>
    </w:p>
    <w:tbl>
      <w:tblPr>
        <w:tblW w:w="9690" w:type="dxa"/>
        <w:jc w:val="left"/>
        <w:tblInd w:w="0" w:type="dxa"/>
        <w:tblLayout w:type="fixed"/>
        <w:tblCellMar>
          <w:top w:w="28" w:type="dxa"/>
          <w:left w:w="28" w:type="dxa"/>
          <w:bottom w:w="28" w:type="dxa"/>
          <w:right w:w="28" w:type="dxa"/>
        </w:tblCellMar>
      </w:tblPr>
      <w:tblGrid>
        <w:gridCol w:w="1626"/>
        <w:gridCol w:w="1431"/>
        <w:gridCol w:w="144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810"/>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 up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business acquisition liabilities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Employee-related costs </w:t>
            </w:r>
            <w:r>
              <w:rPr>
                <w:rFonts w:ascii="Times New Roman;serif" w:hAnsi="Times New Roman;serif"/>
                <w:b w:val="false"/>
                <w:color w:val="000000"/>
                <w:sz w:val="13"/>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acquisition-related costs </w:t>
            </w:r>
            <w:r>
              <w:rPr>
                <w:rFonts w:ascii="Times New Roman;serif" w:hAnsi="Times New Roman;serif"/>
                <w:b w:val="false"/>
                <w:color w:val="000000"/>
                <w:sz w:val="13"/>
              </w:rPr>
              <w:t>(a)</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acquisition-related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(a)Primarily comprised of legal fees, advisory and consulting fees.</w:t>
      </w:r>
    </w:p>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(b)Primarily comprised of severance, share based compensation and termination fees.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Net Income Reconciliation Table:</w:t>
      </w:r>
    </w:p>
    <w:tbl>
      <w:tblPr>
        <w:tblW w:w="10205" w:type="dxa"/>
        <w:jc w:val="center"/>
        <w:tblInd w:w="0" w:type="dxa"/>
        <w:tblLayout w:type="fixed"/>
        <w:tblCellMar>
          <w:top w:w="28" w:type="dxa"/>
          <w:left w:w="28" w:type="dxa"/>
          <w:bottom w:w="28" w:type="dxa"/>
          <w:right w:w="28" w:type="dxa"/>
        </w:tblCellMar>
      </w:tblPr>
      <w:tblGrid>
        <w:gridCol w:w="1802"/>
        <w:gridCol w:w="1394"/>
        <w:gridCol w:w="13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0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Merger and acquisition -related costs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on strategic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benefit from non-recurring tax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adjusting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(1)See footnote 1 to the Non-GAAP Adjusted EBITDA Reconciliation Table for the detail for these costs.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Gross Profit Reconciliation Table:</w:t>
      </w:r>
    </w:p>
    <w:tbl>
      <w:tblPr>
        <w:tblW w:w="10205" w:type="dxa"/>
        <w:jc w:val="left"/>
        <w:tblInd w:w="0" w:type="dxa"/>
        <w:tblLayout w:type="fixed"/>
        <w:tblCellMar>
          <w:top w:w="28" w:type="dxa"/>
          <w:left w:w="28" w:type="dxa"/>
          <w:bottom w:w="28" w:type="dxa"/>
          <w:right w:w="28" w:type="dxa"/>
        </w:tblCellMar>
      </w:tblPr>
      <w:tblGrid>
        <w:gridCol w:w="1615"/>
        <w:gridCol w:w="1422"/>
        <w:gridCol w:w="1430"/>
        <w:gridCol w:w="211"/>
        <w:gridCol w:w="826"/>
        <w:gridCol w:w="109"/>
        <w:gridCol w:w="109"/>
        <w:gridCol w:w="109"/>
        <w:gridCol w:w="109"/>
        <w:gridCol w:w="211"/>
        <w:gridCol w:w="826"/>
        <w:gridCol w:w="109"/>
        <w:gridCol w:w="109"/>
        <w:gridCol w:w="109"/>
        <w:gridCol w:w="109"/>
        <w:gridCol w:w="248"/>
        <w:gridCol w:w="465"/>
        <w:gridCol w:w="466"/>
        <w:gridCol w:w="128"/>
        <w:gridCol w:w="128"/>
        <w:gridCol w:w="128"/>
        <w:gridCol w:w="248"/>
        <w:gridCol w:w="404"/>
        <w:gridCol w:w="577"/>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1,549,466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w:t>
            </w:r>
          </w:p>
        </w:tc>
      </w:tr>
      <w:tr>
        <w:trPr/>
        <w:tc>
          <w:tcPr>
            <w:tcW w:w="44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475,505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444,162</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42,221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46,851</w:t>
            </w:r>
          </w:p>
        </w:tc>
      </w:tr>
      <w:tr>
        <w:trPr/>
        <w:tc>
          <w:tcPr>
            <w:tcW w:w="44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1,031,740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852,450</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 up</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42,221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46,851</w:t>
            </w:r>
          </w:p>
        </w:tc>
      </w:tr>
      <w:tr>
        <w:trPr/>
        <w:tc>
          <w:tcPr>
            <w:tcW w:w="44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1,073,961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905,317</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 of Net Sales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 of 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Diluted Earnings Per Share Reconciliation Table:</w:t>
      </w:r>
    </w:p>
    <w:tbl>
      <w:tblPr>
        <w:tblW w:w="9974" w:type="dxa"/>
        <w:jc w:val="center"/>
        <w:tblInd w:w="0" w:type="dxa"/>
        <w:tblLayout w:type="fixed"/>
        <w:tblCellMar>
          <w:top w:w="28" w:type="dxa"/>
          <w:left w:w="28" w:type="dxa"/>
          <w:bottom w:w="28" w:type="dxa"/>
          <w:right w:w="28" w:type="dxa"/>
        </w:tblCellMar>
      </w:tblPr>
      <w:tblGrid>
        <w:gridCol w:w="2039"/>
        <w:gridCol w:w="1790"/>
        <w:gridCol w:w="1795"/>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203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Merger and acquisition -related costs </w:t>
            </w:r>
            <w:r>
              <w:rPr>
                <w:rFonts w:ascii="Times New Roman;serif" w:hAnsi="Times New Roman;serif"/>
                <w:b w:val="false"/>
                <w:color w:val="000000"/>
                <w:sz w:val="13"/>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strategic investments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benefit from non-recurring tax adjustments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adjusting items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 See footnote 1 to the Non-GAAP Adjusted EBITDA Reconciliation Table above for the detail of these costs.</w:t>
      </w:r>
    </w:p>
    <w:p>
      <w:pPr>
        <w:pStyle w:val="TextBody"/>
        <w:bidi w:val="0"/>
        <w:spacing w:lineRule="auto" w:line="288" w:before="0" w:after="200"/>
        <w:jc w:val="left"/>
        <w:rPr>
          <w:rFonts w:ascii="Times New Roman;serif" w:hAnsi="Times New Roman;serif"/>
          <w:b w:val="false"/>
          <w:i/>
          <w:color w:val="000000"/>
          <w:sz w:val="16"/>
        </w:rPr>
      </w:pPr>
      <w:r>
        <w:rPr>
          <w:rFonts w:ascii="Times New Roman;serif" w:hAnsi="Times New Roman;serif"/>
          <w:b w:val="false"/>
          <w:i/>
          <w:color w:val="000000"/>
          <w:sz w:val="16"/>
        </w:rPr>
        <w:t>*Amounts may not add due to rounding.</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Free Cash Flow Reconciliation Table:</w:t>
      </w:r>
    </w:p>
    <w:tbl>
      <w:tblPr>
        <w:tblW w:w="8969" w:type="dxa"/>
        <w:jc w:val="center"/>
        <w:tblInd w:w="0" w:type="dxa"/>
        <w:tblLayout w:type="fixed"/>
        <w:tblCellMar>
          <w:top w:w="28" w:type="dxa"/>
          <w:left w:w="28" w:type="dxa"/>
          <w:bottom w:w="28" w:type="dxa"/>
          <w:right w:w="28" w:type="dxa"/>
        </w:tblCellMar>
      </w:tblPr>
      <w:tblGrid>
        <w:gridCol w:w="1255"/>
        <w:gridCol w:w="1103"/>
        <w:gridCol w:w="110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Non-GAAP Net Sales on a Constant Currency Basis Comparative Table:</w:t>
      </w:r>
    </w:p>
    <w:tbl>
      <w:tblPr>
        <w:tblW w:w="9046" w:type="dxa"/>
        <w:jc w:val="left"/>
        <w:tblInd w:w="0" w:type="dxa"/>
        <w:tblLayout w:type="fixed"/>
        <w:tblCellMar>
          <w:top w:w="28" w:type="dxa"/>
          <w:left w:w="28" w:type="dxa"/>
          <w:bottom w:w="28" w:type="dxa"/>
          <w:right w:w="28" w:type="dxa"/>
        </w:tblCellMar>
      </w:tblPr>
      <w:tblGrid>
        <w:gridCol w:w="916"/>
        <w:gridCol w:w="806"/>
        <w:gridCol w:w="812"/>
        <w:gridCol w:w="211"/>
        <w:gridCol w:w="826"/>
        <w:gridCol w:w="109"/>
        <w:gridCol w:w="109"/>
        <w:gridCol w:w="109"/>
        <w:gridCol w:w="109"/>
        <w:gridCol w:w="211"/>
        <w:gridCol w:w="826"/>
        <w:gridCol w:w="109"/>
        <w:gridCol w:w="109"/>
        <w:gridCol w:w="109"/>
        <w:gridCol w:w="109"/>
        <w:gridCol w:w="260"/>
        <w:gridCol w:w="260"/>
        <w:gridCol w:w="261"/>
        <w:gridCol w:w="109"/>
        <w:gridCol w:w="109"/>
        <w:gridCol w:w="109"/>
        <w:gridCol w:w="291"/>
        <w:gridCol w:w="849"/>
        <w:gridCol w:w="150"/>
        <w:gridCol w:w="109"/>
        <w:gridCol w:w="109"/>
        <w:gridCol w:w="109"/>
        <w:gridCol w:w="208"/>
        <w:gridCol w:w="208"/>
        <w:gridCol w:w="425"/>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ind w:left="0" w:right="0" w:firstLine="90"/>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br/>
              <w:t>Net Sales</w:t>
              <w:b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 xml:space="preserve">Impact on </w:t>
              <w:br/>
              <w:t>Current</w:t>
              <w:br/>
              <w:t>Period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Constant</w:t>
              <w:br/>
              <w:t>Currency</w:t>
              <w:br/>
              <w:t>Net Sales</w:t>
              <w:br/>
              <w:t>Growth</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bl>
    <w:tbl>
      <w:tblPr>
        <w:tblW w:w="9362" w:type="dxa"/>
        <w:jc w:val="left"/>
        <w:tblInd w:w="0" w:type="dxa"/>
        <w:tblLayout w:type="fixed"/>
        <w:tblCellMar>
          <w:top w:w="28" w:type="dxa"/>
          <w:left w:w="28" w:type="dxa"/>
          <w:bottom w:w="28" w:type="dxa"/>
          <w:right w:w="28" w:type="dxa"/>
        </w:tblCellMar>
      </w:tblPr>
      <w:tblGrid>
        <w:gridCol w:w="922"/>
        <w:gridCol w:w="811"/>
        <w:gridCol w:w="817"/>
        <w:gridCol w:w="211"/>
        <w:gridCol w:w="976"/>
        <w:gridCol w:w="109"/>
        <w:gridCol w:w="109"/>
        <w:gridCol w:w="109"/>
        <w:gridCol w:w="109"/>
        <w:gridCol w:w="211"/>
        <w:gridCol w:w="976"/>
        <w:gridCol w:w="109"/>
        <w:gridCol w:w="109"/>
        <w:gridCol w:w="109"/>
        <w:gridCol w:w="109"/>
        <w:gridCol w:w="260"/>
        <w:gridCol w:w="260"/>
        <w:gridCol w:w="261"/>
        <w:gridCol w:w="109"/>
        <w:gridCol w:w="109"/>
        <w:gridCol w:w="109"/>
        <w:gridCol w:w="261"/>
        <w:gridCol w:w="894"/>
        <w:gridCol w:w="135"/>
        <w:gridCol w:w="109"/>
        <w:gridCol w:w="109"/>
        <w:gridCol w:w="109"/>
        <w:gridCol w:w="246"/>
        <w:gridCol w:w="246"/>
        <w:gridCol w:w="349"/>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br/>
              <w:t>Net Sales</w:t>
              <w:b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 xml:space="preserve">Impact on </w:t>
              <w:br/>
              <w:t>Current</w:t>
              <w:br/>
              <w:t>Period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Constant</w:t>
              <w:br/>
              <w:t>Currency</w:t>
              <w:br/>
              <w:t>Net Sales</w:t>
              <w:br/>
              <w:t>Growth</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21.3%</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bl>
    <w:p>
      <w:pPr>
        <w:pStyle w:val="TextBody"/>
        <w:bidi w:val="0"/>
        <w:spacing w:before="0" w:after="240"/>
        <w:jc w:val="left"/>
        <w:rPr/>
      </w:pPr>
      <w:r>
        <w:r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Investor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Brian Kearns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Corporate Development and 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Phone: (610) 930-1800</w:t>
      </w:r>
    </w:p>
    <w:p>
      <w:pPr>
        <w:pStyle w:val="TextBody"/>
        <w:bidi w:val="0"/>
        <w:spacing w:lineRule="auto" w:line="288" w:before="0" w:after="0"/>
        <w:jc w:val="both"/>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investors@globusmedical.com</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www.globusmedical.com</w:t>
      </w:r>
    </w:p>
    <w:p>
      <w:pPr>
        <w:pStyle w:val="TextBody"/>
        <w:bidi w:val="0"/>
        <w:spacing w:before="0" w:after="20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4547</Words>
  <Characters>26557</Characters>
  <CharactersWithSpaces>30488</CharactersWithSpaces>
  <Paragraphs>998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