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76" w:before="0" w:after="0"/>
        <w:jc w:val="center"/>
        <w:rPr/>
      </w:pPr>
      <w:r>
        <w:rPr>
          <w:rFonts w:ascii="Wingdings;sans-serif" w:hAnsi="Wingdings;sans-serif"/>
          <w:b w:val="false"/>
          <w:color w:val="000000"/>
          <w:sz w:val="22"/>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 the quarterly period ended June 30, 2026</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or</w:t>
      </w:r>
    </w:p>
    <w:p>
      <w:pPr>
        <w:pStyle w:val="TextBody"/>
        <w:bidi w:val="0"/>
        <w:spacing w:lineRule="auto" w:line="288" w:before="0" w:after="0"/>
        <w:jc w:val="center"/>
        <w:rPr/>
      </w:pPr>
      <w:r>
        <w:rPr>
          <w:rFonts w:ascii="Wingdings;sans-serif" w:hAnsi="Wingdings;sans-serif"/>
          <w:b w:val="false"/>
          <w:color w:val="000000"/>
          <w:sz w:val="22"/>
        </w:rPr>
        <w:t>o</w:t>
      </w:r>
      <w:r>
        <w:rPr>
          <w:color w:val="000000"/>
        </w:rPr>
        <w:t xml:space="preserve"> </w:t>
      </w:r>
      <w:r>
        <w:rPr>
          <w:rFonts w:ascii="Times New Roman;serif" w:hAnsi="Times New Roman;serif"/>
          <w:b/>
          <w:color w:val="000000"/>
          <w:sz w:val="22"/>
        </w:rPr>
        <w:t>T</w:t>
      </w:r>
      <w:r>
        <w:rPr>
          <w:rFonts w:ascii="Times New Roman;serif" w:hAnsi="Times New Roman;serif"/>
          <w:b/>
          <w:color w:val="000000"/>
          <w:sz w:val="20"/>
        </w:rPr>
        <w:t>RANSITION REPORT PURSUANT TO SECTION 13 OR 15(d) OF THE SECURITIES EXCHANGE ACT OF 1934</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For the transition period from ______________ to 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Commission File No. 001-35621</w:t>
      </w:r>
    </w:p>
    <w:p>
      <w:pPr>
        <w:pStyle w:val="TextBody"/>
        <w:bidi w:val="0"/>
        <w:spacing w:before="0" w:after="200"/>
        <w:jc w:val="center"/>
        <w:rPr/>
      </w:pPr>
      <w:r>
        <w:rPr/>
        <w:drawing>
          <wp:inline distT="0" distB="0" distL="0" distR="0">
            <wp:extent cx="9144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143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GLOBUS MEDICAL, INC.</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001" w:type="dxa"/>
        <w:jc w:val="left"/>
        <w:tblInd w:w="0" w:type="dxa"/>
        <w:tblLayout w:type="fixed"/>
        <w:tblCellMar>
          <w:top w:w="28" w:type="dxa"/>
          <w:left w:w="28" w:type="dxa"/>
          <w:bottom w:w="28" w:type="dxa"/>
          <w:right w:w="28" w:type="dxa"/>
        </w:tblCellMar>
      </w:tblPr>
      <w:tblGrid>
        <w:gridCol w:w="1859"/>
        <w:gridCol w:w="1631"/>
        <w:gridCol w:w="1640"/>
        <w:gridCol w:w="109"/>
        <w:gridCol w:w="109"/>
        <w:gridCol w:w="109"/>
        <w:gridCol w:w="1326"/>
        <w:gridCol w:w="1326"/>
        <w:gridCol w:w="1892"/>
      </w:tblGrid>
      <w:tr>
        <w:trPr/>
        <w:tc>
          <w:tcPr>
            <w:tcW w:w="185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04-3744954</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2560 General Armistead Avenue, Audubon, PA 19403-5214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(610) 930-1800</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9119" w:type="dxa"/>
        <w:jc w:val="center"/>
        <w:tblInd w:w="0" w:type="dxa"/>
        <w:tblLayout w:type="fixed"/>
        <w:tblCellMar>
          <w:top w:w="28" w:type="dxa"/>
          <w:left w:w="28" w:type="dxa"/>
          <w:bottom w:w="28" w:type="dxa"/>
          <w:right w:w="28" w:type="dxa"/>
        </w:tblCellMar>
      </w:tblPr>
      <w:tblGrid>
        <w:gridCol w:w="1501"/>
        <w:gridCol w:w="1327"/>
        <w:gridCol w:w="1327"/>
        <w:gridCol w:w="525"/>
        <w:gridCol w:w="525"/>
        <w:gridCol w:w="525"/>
        <w:gridCol w:w="986"/>
        <w:gridCol w:w="986"/>
        <w:gridCol w:w="1417"/>
      </w:tblGrid>
      <w:tr>
        <w:trPr/>
        <w:tc>
          <w:tcPr>
            <w:tcW w:w="150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9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9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Address)</w:t>
            </w:r>
          </w:p>
        </w:tc>
      </w:tr>
      <w:tr>
        <w:trPr/>
        <w:tc>
          <w:tcPr>
            <w:tcW w:w="9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GMED</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00"/>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200"/>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1"/>
        <w:gridCol w:w="537"/>
        <w:gridCol w:w="541"/>
        <w:gridCol w:w="109"/>
        <w:gridCol w:w="109"/>
        <w:gridCol w:w="109"/>
        <w:gridCol w:w="446"/>
        <w:gridCol w:w="446"/>
        <w:gridCol w:w="448"/>
        <w:gridCol w:w="109"/>
        <w:gridCol w:w="109"/>
        <w:gridCol w:w="109"/>
        <w:gridCol w:w="566"/>
        <w:gridCol w:w="566"/>
        <w:gridCol w:w="568"/>
        <w:gridCol w:w="109"/>
        <w:gridCol w:w="109"/>
        <w:gridCol w:w="109"/>
        <w:gridCol w:w="637"/>
        <w:gridCol w:w="637"/>
        <w:gridCol w:w="640"/>
        <w:gridCol w:w="109"/>
        <w:gridCol w:w="109"/>
        <w:gridCol w:w="109"/>
        <w:gridCol w:w="624"/>
        <w:gridCol w:w="624"/>
        <w:gridCol w:w="626"/>
        <w:gridCol w:w="109"/>
        <w:gridCol w:w="109"/>
        <w:gridCol w:w="162"/>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2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0" w:after="20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issuer’s common stock (par value $0.001 per share) as of August 4, 2026 was 134,261,914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9060" w:type="dxa"/>
        <w:jc w:val="left"/>
        <w:tblInd w:w="0" w:type="dxa"/>
        <w:tblLayout w:type="fixed"/>
        <w:tblCellMar>
          <w:top w:w="28" w:type="dxa"/>
          <w:left w:w="28" w:type="dxa"/>
          <w:bottom w:w="28" w:type="dxa"/>
          <w:right w:w="28" w:type="dxa"/>
        </w:tblCellMar>
      </w:tblPr>
      <w:tblGrid>
        <w:gridCol w:w="320"/>
        <w:gridCol w:w="281"/>
        <w:gridCol w:w="283"/>
        <w:gridCol w:w="2534"/>
        <w:gridCol w:w="2534"/>
        <w:gridCol w:w="253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0">
              <w:r>
                <w:rPr>
                  <w:rStyle w:val="InternetLink"/>
                  <w:rFonts w:ascii="Times New Roman;serif" w:hAnsi="Times New Roman;serif"/>
                  <w:b w:val="false"/>
                  <w:color w:val="0000FF"/>
                  <w:sz w:val="20"/>
                  <w:u w:val="single"/>
                </w:rPr>
                <w:t>CAUTIONARY NOTE CONCERNING FORWARD-LOOKING STATEMENTS</w:t>
              </w:r>
            </w:hyperlink>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pPr>
            <w:hyperlink w:anchor="i90199a590eec465db717848af2ecc27c_10">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
              <w:r>
                <w:rPr>
                  <w:rStyle w:val="InternetLink"/>
                  <w:rFonts w:ascii="Times New Roman;serif" w:hAnsi="Times New Roman;serif"/>
                  <w:b/>
                  <w:color w:val="0000FF"/>
                  <w:sz w:val="20"/>
                  <w:u w:val="single"/>
                </w:rPr>
                <w:t>PART I.</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
              <w:r>
                <w:rPr>
                  <w:rStyle w:val="InternetLink"/>
                  <w:rFonts w:ascii="Times New Roman;serif" w:hAnsi="Times New Roman;serif"/>
                  <w:b w:val="false"/>
                  <w:color w:val="0000FF"/>
                  <w:sz w:val="20"/>
                  <w:u w:val="single"/>
                </w:rPr>
                <w:t>FINANCIAL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3">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6">
              <w:r>
                <w:rPr>
                  <w:rStyle w:val="InternetLink"/>
                  <w:rFonts w:ascii="Times New Roman;serif" w:hAnsi="Times New Roman;serif"/>
                  <w:b/>
                  <w:color w:val="0000FF"/>
                  <w:sz w:val="20"/>
                  <w:u w:val="single"/>
                </w:rPr>
                <w:t>Item 1.</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6">
              <w:r>
                <w:rPr>
                  <w:rStyle w:val="InternetLink"/>
                  <w:rFonts w:ascii="Times New Roman;serif" w:hAnsi="Times New Roman;serif"/>
                  <w:b w:val="false"/>
                  <w:color w:val="0000FF"/>
                  <w:sz w:val="20"/>
                  <w:u w:val="single"/>
                </w:rPr>
                <w:t>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6">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9">
              <w:r>
                <w:rPr>
                  <w:rStyle w:val="InternetLink"/>
                  <w:rFonts w:ascii="Times New Roman;serif" w:hAnsi="Times New Roman;serif"/>
                  <w:b w:val="false"/>
                  <w:color w:val="0000FF"/>
                  <w:sz w:val="20"/>
                  <w:u w:val="single"/>
                </w:rPr>
                <w:t xml:space="preserve">Condensed Consolidated Balance Sheets (Unaudited) </w:t>
              </w:r>
            </w:hyperlink>
          </w:p>
          <w:p>
            <w:pPr>
              <w:pStyle w:val="TableContents"/>
              <w:bidi w:val="0"/>
              <w:spacing w:lineRule="auto" w:line="288" w:before="0" w:after="0"/>
              <w:jc w:val="left"/>
              <w:rPr/>
            </w:pPr>
            <w:hyperlink w:anchor="i90199a590eec465db717848af2ecc27c_19">
              <w:r>
                <w:rPr>
                  <w:rStyle w:val="InternetLink"/>
                  <w:rFonts w:ascii="Times New Roman;serif" w:hAnsi="Times New Roman;serif"/>
                  <w:b w:val="false"/>
                  <w:color w:val="0000FF"/>
                  <w:sz w:val="20"/>
                  <w:u w:val="single"/>
                </w:rPr>
                <w:t>June 30, 2026, and December 31, 2025</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9">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22">
              <w:r>
                <w:rPr>
                  <w:rStyle w:val="InternetLink"/>
                  <w:rFonts w:ascii="Times New Roman;serif" w:hAnsi="Times New Roman;serif"/>
                  <w:b w:val="false"/>
                  <w:color w:val="0000FF"/>
                  <w:sz w:val="20"/>
                  <w:u w:val="single"/>
                </w:rPr>
                <w:t xml:space="preserve">Condensed Consolidated Statements of Operations and Comprehensive Income (Unaudited) </w:t>
              </w:r>
            </w:hyperlink>
          </w:p>
          <w:p>
            <w:pPr>
              <w:pStyle w:val="TableContents"/>
              <w:bidi w:val="0"/>
              <w:spacing w:lineRule="auto" w:line="288" w:before="0" w:after="0"/>
              <w:jc w:val="left"/>
              <w:rPr/>
            </w:pPr>
            <w:hyperlink w:anchor="i90199a590eec465db717848af2ecc27c_22">
              <w:r>
                <w:rPr>
                  <w:rStyle w:val="InternetLink"/>
                  <w:rFonts w:ascii="Times New Roman;serif" w:hAnsi="Times New Roman;serif"/>
                  <w:b w:val="false"/>
                  <w:color w:val="0000FF"/>
                  <w:sz w:val="20"/>
                  <w:u w:val="single"/>
                </w:rPr>
                <w:t>Three and six months ended June 30, 2026, and June 30, 2025</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22">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25">
              <w:r>
                <w:rPr>
                  <w:rStyle w:val="InternetLink"/>
                  <w:rFonts w:ascii="Times New Roman;serif" w:hAnsi="Times New Roman;serif"/>
                  <w:b w:val="false"/>
                  <w:color w:val="0000FF"/>
                  <w:sz w:val="20"/>
                  <w:u w:val="single"/>
                </w:rPr>
                <w:t xml:space="preserve">Condensed Consolidated Statements of Equity (Unaudited) </w:t>
              </w:r>
            </w:hyperlink>
          </w:p>
          <w:p>
            <w:pPr>
              <w:pStyle w:val="TableContents"/>
              <w:bidi w:val="0"/>
              <w:spacing w:lineRule="auto" w:line="288" w:before="0" w:after="0"/>
              <w:jc w:val="left"/>
              <w:rPr/>
            </w:pPr>
            <w:hyperlink w:anchor="i90199a590eec465db717848af2ecc27c_25">
              <w:r>
                <w:rPr>
                  <w:rStyle w:val="InternetLink"/>
                  <w:rFonts w:ascii="Times New Roman;serif" w:hAnsi="Times New Roman;serif"/>
                  <w:b w:val="false"/>
                  <w:color w:val="0000FF"/>
                  <w:sz w:val="20"/>
                  <w:u w:val="single"/>
                </w:rPr>
                <w:t>Three and six months ended June 30 2026, and June 30, 2025</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25">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28">
              <w:r>
                <w:rPr>
                  <w:rStyle w:val="InternetLink"/>
                  <w:rFonts w:ascii="Times New Roman;serif" w:hAnsi="Times New Roman;serif"/>
                  <w:b w:val="false"/>
                  <w:color w:val="0000FF"/>
                  <w:sz w:val="20"/>
                  <w:u w:val="single"/>
                </w:rPr>
                <w:t xml:space="preserve">Condensed Consolidated Statements of Cash Flows (Unaudited) </w:t>
              </w:r>
            </w:hyperlink>
          </w:p>
          <w:p>
            <w:pPr>
              <w:pStyle w:val="TableContents"/>
              <w:bidi w:val="0"/>
              <w:spacing w:lineRule="auto" w:line="288" w:before="0" w:after="0"/>
              <w:jc w:val="left"/>
              <w:rPr/>
            </w:pPr>
            <w:hyperlink w:anchor="i90199a590eec465db717848af2ecc27c_28">
              <w:r>
                <w:rPr>
                  <w:rStyle w:val="InternetLink"/>
                  <w:rFonts w:ascii="Times New Roman;serif" w:hAnsi="Times New Roman;serif"/>
                  <w:b w:val="false"/>
                  <w:color w:val="0000FF"/>
                  <w:sz w:val="20"/>
                  <w:u w:val="single"/>
                </w:rPr>
                <w:t>Six months ended June 30, 2026, and June 30, 2025</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28">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31">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31">
              <w:r>
                <w:rPr>
                  <w:rStyle w:val="InternetLink"/>
                  <w:rFonts w:ascii="Times New Roman;serif" w:hAnsi="Times New Roman;serif"/>
                  <w:b w:val="false"/>
                  <w:strike w:val="false"/>
                  <w:dstrike w:val="false"/>
                  <w:color w:val="000000"/>
                  <w:sz w:val="20"/>
                  <w:u w:val="none"/>
                  <w:effect w:val="none"/>
                </w:rPr>
                <w:t>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88">
              <w:r>
                <w:rPr>
                  <w:rStyle w:val="InternetLink"/>
                  <w:rFonts w:ascii="Times New Roman;serif" w:hAnsi="Times New Roman;serif"/>
                  <w:b/>
                  <w:color w:val="0000FF"/>
                  <w:sz w:val="20"/>
                  <w:u w:val="single"/>
                </w:rPr>
                <w:t>Item 2.</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88">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24">
              <w:r>
                <w:rPr>
                  <w:rStyle w:val="InternetLink"/>
                  <w:rFonts w:ascii="Times New Roman;serif" w:hAnsi="Times New Roman;serif"/>
                  <w:b/>
                  <w:color w:val="0000FF"/>
                  <w:sz w:val="20"/>
                  <w:u w:val="single"/>
                </w:rPr>
                <w:t>Item 3.</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24">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24">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27">
              <w:r>
                <w:rPr>
                  <w:rStyle w:val="InternetLink"/>
                  <w:rFonts w:ascii="Times New Roman;serif" w:hAnsi="Times New Roman;serif"/>
                  <w:b/>
                  <w:color w:val="0000FF"/>
                  <w:sz w:val="20"/>
                  <w:u w:val="single"/>
                </w:rPr>
                <w:t>Item 4.</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27">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27">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0">
              <w:r>
                <w:rPr>
                  <w:rStyle w:val="InternetLink"/>
                  <w:rFonts w:ascii="Times New Roman;serif" w:hAnsi="Times New Roman;serif"/>
                  <w:b/>
                  <w:color w:val="0000FF"/>
                  <w:sz w:val="20"/>
                  <w:u w:val="single"/>
                </w:rPr>
                <w:t>PART II.</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0">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30">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3">
              <w:r>
                <w:rPr>
                  <w:rStyle w:val="InternetLink"/>
                  <w:rFonts w:ascii="Times New Roman;serif" w:hAnsi="Times New Roman;serif"/>
                  <w:b/>
                  <w:color w:val="0000FF"/>
                  <w:sz w:val="20"/>
                  <w:u w:val="single"/>
                </w:rPr>
                <w:t>Item 1.</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3">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33">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6">
              <w:r>
                <w:rPr>
                  <w:rStyle w:val="InternetLink"/>
                  <w:rFonts w:ascii="Times New Roman;serif" w:hAnsi="Times New Roman;serif"/>
                  <w:b/>
                  <w:color w:val="0000FF"/>
                  <w:sz w:val="20"/>
                  <w:u w:val="single"/>
                </w:rPr>
                <w:t>Item 1A.</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6">
              <w:r>
                <w:rPr>
                  <w:rStyle w:val="InternetLink"/>
                  <w:rFonts w:ascii="Times New Roman;serif" w:hAnsi="Times New Roman;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36">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9">
              <w:r>
                <w:rPr>
                  <w:rStyle w:val="InternetLink"/>
                  <w:rFonts w:ascii="Times New Roman;serif" w:hAnsi="Times New Roman;serif"/>
                  <w:b/>
                  <w:color w:val="0000FF"/>
                  <w:sz w:val="20"/>
                  <w:u w:val="single"/>
                </w:rPr>
                <w:t>Item 2.</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39">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39">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42">
              <w:r>
                <w:rPr>
                  <w:rStyle w:val="InternetLink"/>
                  <w:rFonts w:ascii="Times New Roman;serif" w:hAnsi="Times New Roman;serif"/>
                  <w:b/>
                  <w:color w:val="0000FF"/>
                  <w:sz w:val="20"/>
                  <w:u w:val="single"/>
                </w:rPr>
                <w:t>Item 3.</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42">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42">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45">
              <w:r>
                <w:rPr>
                  <w:rStyle w:val="InternetLink"/>
                  <w:rFonts w:ascii="Times New Roman;serif" w:hAnsi="Times New Roman;serif"/>
                  <w:b/>
                  <w:color w:val="0000FF"/>
                  <w:sz w:val="20"/>
                  <w:u w:val="single"/>
                </w:rPr>
                <w:t>Item 4.</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45">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45">
              <w:r>
                <w:rPr>
                  <w:rStyle w:val="InternetLink"/>
                  <w:rFonts w:ascii="Times New Roman;serif" w:hAnsi="Times New Roman;serif"/>
                  <w:b w:val="false"/>
                  <w:strike w:val="false"/>
                  <w:dstrike w:val="false"/>
                  <w:color w:val="000000"/>
                  <w:sz w:val="20"/>
                  <w:u w:val="none"/>
                  <w:effect w:val="none"/>
                </w:rPr>
                <w:t>39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48">
              <w:r>
                <w:rPr>
                  <w:rStyle w:val="InternetLink"/>
                  <w:rFonts w:ascii="Times New Roman;serif" w:hAnsi="Times New Roman;serif"/>
                  <w:b/>
                  <w:color w:val="0000FF"/>
                  <w:sz w:val="20"/>
                  <w:u w:val="single"/>
                </w:rPr>
                <w:t>Item 5.</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48">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48">
              <w:r>
                <w:rPr>
                  <w:rStyle w:val="InternetLink"/>
                  <w:rFonts w:ascii="Times New Roman;serif" w:hAnsi="Times New Roman;serif"/>
                  <w:b w:val="false"/>
                  <w:strike w:val="false"/>
                  <w:dstrike w:val="false"/>
                  <w:color w:val="000000"/>
                  <w:sz w:val="20"/>
                  <w:u w:val="none"/>
                  <w:effect w:val="none"/>
                </w:rPr>
                <w:t>39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54">
              <w:r>
                <w:rPr>
                  <w:rStyle w:val="InternetLink"/>
                  <w:rFonts w:ascii="Times New Roman;serif" w:hAnsi="Times New Roman;serif"/>
                  <w:b/>
                  <w:color w:val="0000FF"/>
                  <w:sz w:val="20"/>
                  <w:u w:val="single"/>
                </w:rPr>
                <w:t>Item 6.</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54">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54">
              <w:r>
                <w:rPr>
                  <w:rStyle w:val="InternetLink"/>
                  <w:rFonts w:ascii="Times New Roman;serif" w:hAnsi="Times New Roman;serif"/>
                  <w:b w:val="false"/>
                  <w:strike w:val="false"/>
                  <w:dstrike w:val="false"/>
                  <w:color w:val="000000"/>
                  <w:sz w:val="20"/>
                  <w:u w:val="none"/>
                  <w:effect w:val="none"/>
                </w:rPr>
                <w:t>39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99a590eec465db717848af2ecc27c_157">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99a590eec465db717848af2ecc27c_157">
              <w:r>
                <w:rPr>
                  <w:rStyle w:val="InternetLink"/>
                  <w:rFonts w:ascii="Times New Roman;serif" w:hAnsi="Times New Roman;serif"/>
                  <w:b w:val="false"/>
                  <w:strike w:val="false"/>
                  <w:dstrike w:val="false"/>
                  <w:color w:val="000000"/>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Concerning Forward-Looking Statements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This Quarterly Report on Form 10-Q (this “Quarterly Report”)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 are forward-looking statements. Words such as “believe,” “may,” “might,” “could,” “will,” “aim,” “estimate,” “continue,” “anticipate,” “intend,” “expect,” “plan” or the negative versions of those words or other comparable words, and similar expressions may identify forward-looking statements. These forward-looking statements are based on the current views and beliefs of management of Globus Medical, Inc. (the “Company,” “we,” “us,” and “our”), as well as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 ability to develop and execute on successful business strategies, our ability to comply with laws and regulations, and any changes thereto that are applicable to our businesses, our ability to safeguard our intellectual property, our success in defending legal proceedings brought against us, trends in the medical device industry, and general economic conditions, successful integration of businesses that we have acquired or may acquire in the future, and other risks set forth in this Quarterly Report and throughout our </w:t>
      </w:r>
      <w:hyperlink r:id="rId3">
        <w:r>
          <w:rPr>
            <w:rStyle w:val="InternetLink"/>
            <w:rFonts w:ascii="Times New Roman;serif" w:hAnsi="Times New Roman;serif"/>
            <w:b w:val="false"/>
            <w:color w:val="0000FF"/>
            <w:sz w:val="20"/>
            <w:u w:val="single"/>
          </w:rPr>
          <w:t>Annual Report on Form 10-K for the year ended December 31, 2025</w:t>
        </w:r>
      </w:hyperlink>
      <w:r>
        <w:rPr>
          <w:color w:val="000000"/>
        </w:rPr>
        <w:t xml:space="preserve"> </w:t>
      </w:r>
      <w:r>
        <w:rPr>
          <w:rFonts w:ascii="Times New Roman;serif" w:hAnsi="Times New Roman;serif"/>
          <w:b w:val="false"/>
          <w:color w:val="000000"/>
          <w:sz w:val="20"/>
        </w:rPr>
        <w:t xml:space="preserve">filed with the Securities and Exchange Commission (the “SEC”) on February 24, 2026, particularly those set forth under </w:t>
      </w:r>
      <w:r>
        <w:rPr>
          <w:color w:val="000000"/>
        </w:rPr>
        <w:t>“</w:t>
      </w:r>
      <w:r>
        <w:rPr>
          <w:rFonts w:ascii="Times New Roman;serif" w:hAnsi="Times New Roman;serif"/>
          <w:b/>
          <w:color w:val="000000"/>
          <w:sz w:val="20"/>
        </w:rPr>
        <w:t>Item 1. Business,” “Item 1A. Risk Factors,” “Item 7. Management’s Discussion and Analysis of Financial Condition and Results of Operations,” and “Item 7A. Quantitative and Qualitative Disclosure About Market Risk”</w:t>
      </w:r>
      <w:r>
        <w:rPr>
          <w:color w:val="000000"/>
        </w:rPr>
        <w:t xml:space="preserve"> </w:t>
      </w:r>
      <w:r>
        <w:rPr>
          <w:rFonts w:ascii="Times New Roman;serif" w:hAnsi="Times New Roman;serif"/>
          <w:b w:val="false"/>
          <w:color w:val="000000"/>
          <w:sz w:val="20"/>
        </w:rPr>
        <w:t>and those discussed in other documents we file with the SEC.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these risks and uncertainties, readers are cautioned not to place undue reliance on any forward-looking statements. Forward-looking statements contained in this Quarterly Report speak only as of the date of this Quarterly Report. Except as may be required by law, we undertake no obligation to update any forward-looking statements as a result of new information, events or circumstances or other factors arising or coming to our attention after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792"/>
        <w:gridCol w:w="2209"/>
        <w:gridCol w:w="2224"/>
        <w:gridCol w:w="211"/>
        <w:gridCol w:w="991"/>
        <w:gridCol w:w="109"/>
        <w:gridCol w:w="109"/>
        <w:gridCol w:w="109"/>
        <w:gridCol w:w="109"/>
        <w:gridCol w:w="211"/>
        <w:gridCol w:w="976"/>
        <w:gridCol w:w="155"/>
      </w:tblGrid>
      <w:tr>
        <w:trPr/>
        <w:tc>
          <w:tcPr>
            <w:tcW w:w="2792"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share and per share values)</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507,745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$44,371 and $33,434,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692,176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810,897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2,215,512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2,125,611 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533,528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692,624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1,438,216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224,627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5,488,258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479,347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498,499 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 net of current portion</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82,113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96,807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tax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719,655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729,511 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Authorized 500,000,000 shares; issued and outstanding 111,822,190 and 112,625,126 shares at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Authorized 275,000,000 shares; issued and outstanding 22,430,097 and 22,430,097 shares at June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3,230,186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1,527,087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4,768,603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5,488,258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593"/>
        <w:gridCol w:w="1330"/>
        <w:gridCol w:w="1340"/>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6"/>
      </w:tblGrid>
      <w:tr>
        <w:trPr/>
        <w:tc>
          <w:tcPr>
            <w:tcW w:w="159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789,612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1,549,466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and Operating 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241,439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475,505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72,831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584,598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59,086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332,820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income/(expense), net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118,728 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189,817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346,891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151,569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275,871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 net of tax:</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income/(loss), net of tax</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148,361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271,721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295,408 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135,981</w:t>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138,137</w:t>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1713" w:type="dxa"/>
        <w:jc w:val="center"/>
        <w:tblInd w:w="0" w:type="dxa"/>
        <w:tblLayout w:type="fixed"/>
        <w:tblCellMar>
          <w:top w:w="28" w:type="dxa"/>
          <w:left w:w="28" w:type="dxa"/>
          <w:bottom w:w="28" w:type="dxa"/>
          <w:right w:w="28" w:type="dxa"/>
        </w:tblCellMar>
      </w:tblPr>
      <w:tblGrid>
        <w:gridCol w:w="833"/>
        <w:gridCol w:w="299"/>
        <w:gridCol w:w="264"/>
        <w:gridCol w:w="259"/>
        <w:gridCol w:w="259"/>
        <w:gridCol w:w="263"/>
        <w:gridCol w:w="109"/>
        <w:gridCol w:w="109"/>
        <w:gridCol w:w="109"/>
        <w:gridCol w:w="211"/>
        <w:gridCol w:w="466"/>
        <w:gridCol w:w="109"/>
        <w:gridCol w:w="109"/>
        <w:gridCol w:w="109"/>
        <w:gridCol w:w="109"/>
        <w:gridCol w:w="224"/>
        <w:gridCol w:w="224"/>
        <w:gridCol w:w="228"/>
        <w:gridCol w:w="109"/>
        <w:gridCol w:w="109"/>
        <w:gridCol w:w="109"/>
        <w:gridCol w:w="211"/>
        <w:gridCol w:w="361"/>
        <w:gridCol w:w="109"/>
        <w:gridCol w:w="109"/>
        <w:gridCol w:w="109"/>
        <w:gridCol w:w="109"/>
        <w:gridCol w:w="211"/>
        <w:gridCol w:w="976"/>
        <w:gridCol w:w="109"/>
        <w:gridCol w:w="109"/>
        <w:gridCol w:w="109"/>
        <w:gridCol w:w="109"/>
        <w:gridCol w:w="237"/>
        <w:gridCol w:w="811"/>
        <w:gridCol w:w="123"/>
        <w:gridCol w:w="109"/>
        <w:gridCol w:w="109"/>
        <w:gridCol w:w="109"/>
        <w:gridCol w:w="211"/>
        <w:gridCol w:w="976"/>
        <w:gridCol w:w="109"/>
        <w:gridCol w:w="109"/>
        <w:gridCol w:w="109"/>
        <w:gridCol w:w="109"/>
        <w:gridCol w:w="211"/>
        <w:gridCol w:w="976"/>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of contingent restricted stock units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and director equity option plans, net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4,732,312 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of contingent restricted stock units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and director equity option plans, net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7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1,527,087 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4,768,603 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2255" w:type="dxa"/>
        <w:jc w:val="left"/>
        <w:tblInd w:w="0" w:type="dxa"/>
        <w:tblLayout w:type="fixed"/>
        <w:tblCellMar>
          <w:top w:w="28" w:type="dxa"/>
          <w:left w:w="28" w:type="dxa"/>
          <w:bottom w:w="28" w:type="dxa"/>
          <w:right w:w="28" w:type="dxa"/>
        </w:tblCellMar>
      </w:tblPr>
      <w:tblGrid>
        <w:gridCol w:w="833"/>
        <w:gridCol w:w="299"/>
        <w:gridCol w:w="264"/>
        <w:gridCol w:w="413"/>
        <w:gridCol w:w="413"/>
        <w:gridCol w:w="226"/>
        <w:gridCol w:w="109"/>
        <w:gridCol w:w="109"/>
        <w:gridCol w:w="109"/>
        <w:gridCol w:w="211"/>
        <w:gridCol w:w="466"/>
        <w:gridCol w:w="109"/>
        <w:gridCol w:w="109"/>
        <w:gridCol w:w="109"/>
        <w:gridCol w:w="109"/>
        <w:gridCol w:w="360"/>
        <w:gridCol w:w="361"/>
        <w:gridCol w:w="226"/>
        <w:gridCol w:w="109"/>
        <w:gridCol w:w="109"/>
        <w:gridCol w:w="109"/>
        <w:gridCol w:w="211"/>
        <w:gridCol w:w="361"/>
        <w:gridCol w:w="109"/>
        <w:gridCol w:w="109"/>
        <w:gridCol w:w="109"/>
        <w:gridCol w:w="109"/>
        <w:gridCol w:w="211"/>
        <w:gridCol w:w="976"/>
        <w:gridCol w:w="109"/>
        <w:gridCol w:w="109"/>
        <w:gridCol w:w="109"/>
        <w:gridCol w:w="109"/>
        <w:gridCol w:w="237"/>
        <w:gridCol w:w="811"/>
        <w:gridCol w:w="123"/>
        <w:gridCol w:w="109"/>
        <w:gridCol w:w="109"/>
        <w:gridCol w:w="109"/>
        <w:gridCol w:w="211"/>
        <w:gridCol w:w="976"/>
        <w:gridCol w:w="109"/>
        <w:gridCol w:w="109"/>
        <w:gridCol w:w="109"/>
        <w:gridCol w:w="109"/>
        <w:gridCol w:w="211"/>
        <w:gridCol w:w="976"/>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114,990 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4,177,333 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of contingent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and director equity option plans,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112,926 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4,088,068 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of contingent restricted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and director equity option plans,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5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3,071,652 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1,213,657 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4,295,683 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(Unaudited)</w:t>
      </w:r>
    </w:p>
    <w:tbl>
      <w:tblPr>
        <w:tblW w:w="10178" w:type="dxa"/>
        <w:jc w:val="left"/>
        <w:tblInd w:w="0" w:type="dxa"/>
        <w:tblLayout w:type="fixed"/>
        <w:tblCellMar>
          <w:top w:w="28" w:type="dxa"/>
          <w:left w:w="28" w:type="dxa"/>
          <w:bottom w:w="28" w:type="dxa"/>
          <w:right w:w="28" w:type="dxa"/>
        </w:tblCellMar>
      </w:tblPr>
      <w:tblGrid>
        <w:gridCol w:w="2716"/>
        <w:gridCol w:w="2388"/>
        <w:gridCol w:w="2395"/>
        <w:gridCol w:w="211"/>
        <w:gridCol w:w="841"/>
        <w:gridCol w:w="109"/>
        <w:gridCol w:w="109"/>
        <w:gridCol w:w="109"/>
        <w:gridCol w:w="109"/>
        <w:gridCol w:w="211"/>
        <w:gridCol w:w="826"/>
        <w:gridCol w:w="154"/>
      </w:tblGrid>
      <w:tr>
        <w:trPr/>
        <w:tc>
          <w:tcPr>
            <w:tcW w:w="271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275,871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Bargain purchase gain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 accounting fair value step up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15,748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disposal of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from foreign currency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operating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412,105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(254,013)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(72,783)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 and purchases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investing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(311,722)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(167,723)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withholdings for 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(136,058)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convertible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financing activities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(116,299)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(660,333)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increase/(decrease) in cash and cash equivalents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(18,411)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(554,992)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526,156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507,745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GLOBUS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 BACKGROUND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The Company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Globus Medical, Inc., together with its majority-owned or controlled subsidiaries, is a medical device company that develops and commercializes healthcare solutions with a mission to improve the quality of life of patients with musculoskeletal disorders. We are primarily focused on implants that promote healing in patients with musculoskeletal disorders, including the use of a robotic guidance and navigation system and products to treat patients who have experienced orthopedic traumas.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engineering-driven company with a history of rapidly developing and commercializing advanced products and procedures to assist surgeons in effectively treating their patients and to address new treatment options. With numerous products launched since the founding of the Company, we offer a comprehensive portfolio of innovative and differentiated technologies that address a variety of musculoskeletal pathologies, anatomies, and surgical approaches.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headquartered in Audubon, Pennsylvania, and market and sell our products through our exclusive sales force in the United States (“U.S.”), as well as within North, Central &amp; South America, Europe, Asia, Africa and Australia. We sell our products in the U.S. through a sales force comprised primarily of directly-employed and independent sales representatives. Our international sales force is comprised of directly-employed sales personnel and independent sales representatives, as well as exclusive and non-exclusive independent third-party distributors.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terms the “Company,” “Globus,” “we,” “us” and “our” refer to Globus Medical, Inc. and, where applicable, our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2. SUMMARY OF SIGNIFICANT ACCOUNTING POLICIES </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(a)Basis of Presentation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interim unaudited condensed consolidated financial statements have been prepared in conformity with generally accepted accounting principles in the U.S. (“U.S. GAAP”) for interim financial statements and with the instructions to Form 10-Q and Article 10 of Regulation S-X. Accordingly, certain information and footnote disclosures normally included in complete financial statements prepared in accordance with U.S. GAAP have been condensed or omitted pursuant to the rules and regulations of the U.S. Securities and Exchange Commission (the “SEC”). As such, the information included in this Quarterly Report on Form 10-Q should be read in conjunction with the consolidated financial statements and accompanying footnotes included in our Annual Report on Form 10-K for the year ended December 31, 2025 filed with the SEC on February 24,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these condensed consolidated financial statements include all adjustments necessary, which are of a normal and recurring nature, for the fair presentation of our financial position as of June 30, 2026, and results of operations for the three and six months ended June 30, 2026. The results of operations for any interim period may not be indicative of results for the full year. </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 xml:space="preserve">(b)Principles of Consolidation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Globus and its majority-owned or controlled subsidiaries. All intercompany balances and transactions are eliminated in consolidation.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intraoperative neuromonitoring (“IONM”) services through various majority-owned or controlled subsidiaries, which collectively conduct business as NuVasive Clinical Services. In providing IONM services to surgeons and healthcare facilities across the U.S., the Company maintains contractual relationships with several physician practices (“PCs”). In accordance with authoritative guidance, the Company has determined that the PCs are variable interest entities and therefore, the accompanying condensed consolidated financial statements include the accounts of the PCs from the date of acquisition. During the periods presented, the results of the PCs were immaterial to the Company’s financial statements. The creditors of the PCs have claims only to the assets of the PCs, which are not material, and the assets of the PCs are not available to the Company.</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 xml:space="preserve">(c)Use of Estimates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in conformity with U.S.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We base our estimates, in part, on historical experience that management believes to be reasonable under the circumstances. Actual results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differ from those estimates. Estimates and assumptions are periodically reviewed, and the effects of revisions are reflected in the condensed consolidated financial statements in the period they are determined to be necessary.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areas that require estimates include revenue recognition, intangible assets, business acquisition liabilities, allowance for expected credit losses, stock-based compensation, reserves for excess and obsolete inventory, fair value measurements, useful lives of assets, the outcome of litigation, recoverability of intangible assets and income taxes. We are subject to risks and uncertainties due to changes in the healthcare environment, regulatory oversight, competition, and legislation that may cause actual results to differ materially from estimated results.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(d)Revenue Recognition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accordance with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the Company recognizes revenue upon the transfer of goods or services to a customer at an amount that reflects the expected consideration to be received in exchange for those goods or services. The principles in ASC 606 are applied using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its performance obligation(s). Revenue is recognized upon transfer of control of promised products or services to customers in an amount that reflects the consideration we expect to receive in exchange for those products or services. Sales and other taxes we collect concurrent with revenue-producing activities are excluded from revenue. For purposes of disclosure, we disaggregate our revenue into two categories: Musculoskeletal Solutions and Enabling Technologies.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Musculoskeletal Solutions products consist primarily of implantable devices, disposables, unique instruments, and neuromonitoring services, used in an expansive range of spine, orthopedic trauma, hip, knee and extremity procedures. The majority of our Musculoskeletal Solutions contracts have a single performance obligation and revenue is recognized at a point in time. For our neuromonitoring services, revenue is recognized in the period the service is performed, which can be either at a point in time or over time, depending on how the performance obligation is defined for the amount of consideration expected to be received.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Enabling Technologies products are advanced hardware and software systems and related technologies that are designed to enhance a surgeon’s capabilities and streamline surgical procedures by making them less invasive, more accurate, and more reproducible to improve patient care. The majority of our Enabling Technologies product contracts contain multiple performance obligations, including maintenance and support, and revenue is recognized as we fulfill each performance obligation, generally at the point in time in which the obligation is fulfilled. When a contract has multiple performance obligations, we allocate the contract’s transaction price to each performance obligation using our best estimate of the standalone selling price of each distinct good or service in the contract.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associated with products holding rights of return or trade-in are recognized when the Company concludes there is not a risk of significant revenue reversal in future periods for the expected consideration in the transaction. Our policy is to classify shipping and handling costs billed to customers as sales and the related expenses as cost of sales.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Timing of revenue recognition may differ from the timing of invoicing to customers. We record a receivable when revenue is recognized prior to invoicing, or deferred revenue when revenue is recognized subsequent to invoicing.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revenue is comprised mainly of unearned revenue related to the sales of certain Enabling Technologies products, which include maintenance and support services. Maintenance and support services are generally invoiced annually, at the beginning of each contract period, and revenue is recognized ratably over the maintenance period.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liabilities of $36.1 million and $36.9 million as of June 30, 2026 and December 31, 2025, respectively, are classified within deferred revenue and other liabilities on our condensed consolidated balance sheet based on the timing of when we expect to complete performance obligations.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to contract liabilities related to deferred revenue for the six months ended June 30, 2026, are as follows:</w:t>
      </w:r>
    </w:p>
    <w:tbl>
      <w:tblPr>
        <w:tblW w:w="5638" w:type="dxa"/>
        <w:jc w:val="left"/>
        <w:tblInd w:w="0" w:type="dxa"/>
        <w:tblLayout w:type="fixed"/>
        <w:tblCellMar>
          <w:top w:w="28" w:type="dxa"/>
          <w:left w:w="28" w:type="dxa"/>
          <w:bottom w:w="28" w:type="dxa"/>
          <w:right w:w="28" w:type="dxa"/>
        </w:tblCellMar>
      </w:tblPr>
      <w:tblGrid>
        <w:gridCol w:w="1517"/>
        <w:gridCol w:w="1332"/>
        <w:gridCol w:w="1335"/>
        <w:gridCol w:w="282"/>
        <w:gridCol w:w="966"/>
        <w:gridCol w:w="206"/>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72" w:before="0" w:after="283"/>
              <w:jc w:val="center"/>
              <w:rPr>
                <w:rFonts w:ascii="Times New Roman;serif" w:hAnsi="Times New Roman;serif"/>
                <w:b/>
                <w:color w:val="000000"/>
                <w:sz w:val="16"/>
              </w:rPr>
            </w:pPr>
            <w:r>
              <w:rPr>
                <w:rFonts w:ascii="Times New Roman;serif" w:hAnsi="Times New Roman;serif"/>
                <w:b/>
                <w:color w:val="000000"/>
                <w:sz w:val="16"/>
              </w:rPr>
              <w:t>Six Months Ended</w:t>
              <w:br/>
              <w:t xml:space="preserve">June 30, </w:t>
              <w:br/>
              <w:t>2026</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contract liabilities</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36,914 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contract liabilities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consideration received during the period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contract liabilities</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36,073 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(e)Marketable Securities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marketable securities include municipal bonds, corporate debt securities, commercial paper, asset-backed securities, securities of government, federal agency, and other sovereign obligations and are classified as available-for-sale as of June 30, 2026. Short-term and long-term marketable securities are recorded at fair value on our condensed consolidated balance sheets. Any change in fair value of our available-for-sale securities, which does not result in recognition or reversal of an allowance for credit loss or write-down, is recorded, net of taxes, as a component of accumulated other comprehensive income or loss on our condensed consolidated balance sheets. Premiums and discounts are recognized over the life of the related security as an adjustment to yield using the straight-line method. Realized gains or losses from the sale of marketable securities are determined on a specific identification basis. Realized gains and losses, interest income and the amortization/accretion of premiums/discounts are included as a component of other income/(expense), net, on our condensed consolidated statements of operations and comprehensive income. Interest receivable is recorded as a component of prepaid expenses and other current assets on our condensed consolidated balance sheets.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invest in securities that meet or exceed standards as defined in our investment policy. Our policy also limits the amount of credit exposure to any one issue, issuer or type of security. We review declines in the fair value of our securities to determine whether they are resulting from expected credit losses or other factors. If the assessment indicates a credit loss exists, we recognize any measured impairment as an allowance for credit loss in our condensed consolidated statements of operations. Any other impairments not recorded through allowance for credit losses is recognized in our other comprehensive income. No impairments were identified resulting from expected credit losses during the three and six months ended June 30, 2026.</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(f)Goodwill and Intangible Assets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price over the fair values of the identifiable assets acquired less the liabilities assumed in the acquisition of a business. Goodwill is tested for impairment at least annually or whenever events or circumstances indicate that a carrying amount may not be recoverable. Goodwill is tested for impairment at the reporting unit level by comparing the reporting unit’s carrying amount to the estimated fair value of the reporting unit. Fair values are estimated using an income and discounted cash flow approach. We perform our annual impairment test of goodwill in the fourth quarter of each year. We consider a qualitative assessment when the results of the previous quantitative test indicated the reporting unit’s estimated fair value was significantly in excess of the carrying value of its net assets, and we do not believe there have been significant changes in the reporting unit’s operations that would significantly decrease its estimated fair value or significantly increase its net assets. If a quantitative assessment is performed, the evaluation includes management estimates of discounted cash flow projections based on internal future projections and/or use of a market approach by looking at market values of comparable companies.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purchased developed technology, customer relationships, trade names, reacquired right and patents. Intangible assets with finite useful lives are amortized over the period of estimated benefit using the straight-line method and estimated useful lives ranging from 1 to 21 years. Intangible assets with finite useful lives are tested whenever events or circumstances indicate that a carrying amount of an asset (asset group) may not be recoverable. If an impairment is indicated, we measure the amount of the impairment loss as the amount by which the carrying amount exceeds the fair value of the asset. Fair value is generally determined using a discounted future cash flow analysis.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there were no impairments in goodwill or finite-lived intangible assets.</w:t>
      </w:r>
    </w:p>
    <w:p>
      <w:pPr>
        <w:pStyle w:val="TextBody"/>
        <w:bidi w:val="0"/>
        <w:spacing w:lineRule="auto" w:line="288" w:before="0" w:after="200"/>
        <w:ind w:left="0" w:right="0" w:hanging="270"/>
        <w:jc w:val="both"/>
        <w:rPr/>
      </w:pPr>
      <w:r>
        <w:rPr>
          <w:rFonts w:ascii="Times New Roman;serif" w:hAnsi="Times New Roman;serif"/>
          <w:b/>
          <w:i/>
          <w:color w:val="000000"/>
          <w:sz w:val="20"/>
        </w:rPr>
        <w:t>(g)</w:t>
      </w:r>
      <w:r>
        <w:rPr>
          <w:color w:val="000000"/>
        </w:rPr>
        <w:t xml:space="preserve"> </w:t>
      </w:r>
      <w:r>
        <w:rPr>
          <w:rFonts w:ascii="Times New Roman;serif" w:hAnsi="Times New Roman;serif"/>
          <w:b/>
          <w:i/>
          <w:color w:val="000000"/>
          <w:sz w:val="20"/>
        </w:rPr>
        <w:t>Derivative Financial Instruments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all derivative instruments as assets or liabilities in its unaudited condensed consolidated balance sheets and measures these instruments at fair value by revaluing these assets and liabilities at the end of each reporting period. Gains and losses are recorded as a component of other expense, net in the unaudited condensed consolidated statements of operations and comprehensive income. The effects of these derivative instruments are immaterial to the Company’s financial statements.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(h)Accounts Receivable and Related Valuation Accounts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in the accompanying unaudited condensed consolidated balance sheets are presented net of allowances for expected credit losses. We maintain an allowance for expected credit losses resulting from the inability of its customers, including hospitals, ambulatory surgery centers, and distributors, to make required payments.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calculated quarterly and is estimated on a region-by-region basis considering a number of factors including age of account balances, collection history, historical account write-offs, third-party credit reports, identified trends, current economic conditions, and supportable forecasted economic expectations. The allowance is adjusted on a specific identification basis for certain accounts as well as pooling of accounts with similar characteristics. An increase in the provision for credit losses may be required when the financial condition of our customers or their collection experience deteriorates. Our exposure to credit losses may also increase if our customers are adversely affected by changes in healthcare laws, coverage and reimbursement, macroeconomic pressures or uncertainty associated with local or global economic recessions, disruption associated with pandemics, or other customer-specific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(i)Recently Issued Accounting Pronouncements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December 2025, the Financial Accounting Standards Board (the “FASB”) issued Accounting Standards Update (“ASU”) No. 2025-11 </w:t>
      </w:r>
      <w:r>
        <w:rPr>
          <w:rFonts w:ascii="Times New Roman;serif" w:hAnsi="Times New Roman;serif"/>
          <w:b w:val="false"/>
          <w:i/>
          <w:color w:val="000000"/>
          <w:sz w:val="20"/>
        </w:rPr>
        <w:t>Interim Reporting (Topic 270)</w:t>
      </w:r>
      <w:r>
        <w:rPr>
          <w:rFonts w:ascii="Times New Roman;serif" w:hAnsi="Times New Roman;serif"/>
          <w:b w:val="false"/>
          <w:color w:val="000000"/>
          <w:sz w:val="20"/>
        </w:rPr>
        <w:t>. ASU No. 2025-11 clarifies interim disclosure requirements and the applicability of Topic 270. The objective of the amendments is to provide clarity about the current requirements, rather than evaluate whether to expand or reduce interim disclosure requirements. This ASU clarifies types of interim reporting and the form and content of interim financial statements in accordance with U.S. GAAP. ASU No. 2025-11 is effective for fiscal years beginning after December 15, 2027, and early adoption is permitted. Entities may apply the guidance prospectively or retrospectively. The Company is currently evaluating the impact the standard will have on its interim consolidated financial statements and related disclosures.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Targeted Improvements to the Accounting for Internal-Use Software. ASU No. 2025-06 simplifies the accounting for internal-use software costs by eliminating stage-based guidance and requiring deferral of capitalization when significant development uncertainty exists. ASU No. 2025-06 is effective for fiscal years beginning after December 15, 2027, and early adoption is permitted. Entities may apply the guidance prospectively, retrospectively, or using a modified retrospective approach. The Company is currently evaluating the impact the standard will have on its consolidated financial statements and related disclosures.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January 2025, the FASB issued ASU No. 2025-01,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ASU No. 2025-01 amends the effective date of ASU No. 2024-03 to clarify the initial effective date for entities that do not have an annual reporting period that ends on December 31, referred to as non-calendar year end entities. All public business entities are required to adopt the guidance in annual reporting periods beginning after December 15, 2026, and interim periods within annual reporting periods beginning after December 15, 2027, and early adoption is permitted. The amendments should be applied prospectively, with retrospective applications also permitted. Additionally, in December 2024, the FASB issued ASU No.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The update improves financial reporting by requiring that public business entities disclose additional information about certain costs and expenses categories: (a) purchases of inventory, (b) employee compensation, (c) depreciation, (d) intangible asset amortization, and (e) depreciation, depletion, and amortization in the notes to financial statements at interim and annual reporting periods. This update is effective for fiscal years beginning after December 15, 2026, and early adoption is permitted. The amendments should be applied prospectively, with retrospective applications also permitted. The Company is currently evaluating the impact the standard will have on its consolidated financial statements and related disclosures.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 xml:space="preserve">(j)Recently Adopted Accounting Pronouncements </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ASU No. 2025</w:t>
        <w:noBreakHyphen/>
        <w:t>05 provides a practical expedient that allows entities to estimate expected credit losses on certain trade receivables and contract assets by assuming that current economic conditions will remain unchanged over the life of the asset. The expedient applies only to assets with contractual lives of one year or less. The Company adopted ASU No. 2025-05 as of January 1, 2026, and amendments were applied prospectively. The adoption did not have any material impact on the Company</w:t>
      </w:r>
      <w:r>
        <w:rPr>
          <w:color w:val="000000"/>
          <w:shd w:fill="FFFFFF" w:val="clear"/>
        </w:rPr>
        <w:t>’</w:t>
      </w:r>
      <w:r>
        <w:rPr>
          <w:rFonts w:ascii="Times New Roman;serif" w:hAnsi="Times New Roman;serif"/>
          <w:b w:val="false"/>
          <w:color w:val="000000"/>
          <w:sz w:val="20"/>
        </w:rPr>
        <w:t>s consolidated financial statements.</w:t>
      </w:r>
    </w:p>
    <w:p>
      <w:pPr>
        <w:pStyle w:val="TextBody"/>
        <w:bidi w:val="0"/>
        <w:spacing w:lineRule="auto" w:line="276" w:before="0" w:after="200"/>
        <w:ind w:left="0" w:right="0" w:firstLine="720"/>
        <w:jc w:val="both"/>
        <w:rPr/>
      </w:pPr>
      <w:r>
        <w:rPr>
          <w:rFonts w:ascii="Times New Roman;serif" w:hAnsi="Times New Roman;serif"/>
          <w:b w:val="false"/>
          <w:color w:val="000000"/>
          <w:sz w:val="20"/>
        </w:rPr>
        <w:t>In December 2023, the FASB issued ASU No. 2023-09</w:t>
      </w:r>
      <w:r>
        <w:rPr>
          <w:rFonts w:ascii="Times New Roman;serif" w:hAnsi="Times New Roman;serif"/>
          <w:b w:val="false"/>
          <w:i/>
          <w:color w:val="000000"/>
          <w:sz w:val="20"/>
        </w:rPr>
        <w:t>, Income Taxes (Topic 740), Improvements to Income Tax Disclosures,</w:t>
      </w:r>
      <w:r>
        <w:rPr>
          <w:color w:val="000000"/>
        </w:rPr>
        <w:t xml:space="preserve"> </w:t>
      </w:r>
      <w:r>
        <w:rPr>
          <w:rFonts w:ascii="Times New Roman;serif" w:hAnsi="Times New Roman;serif"/>
          <w:b w:val="false"/>
          <w:color w:val="000000"/>
          <w:sz w:val="20"/>
        </w:rPr>
        <w:t xml:space="preserve">to enhance the transparency and decision-making utility of income tax disclosures. The enhancement will provide information to better assess how an entity’s operations and related tax risks and tax planning and operational opportunities affect its tax rate and prospects for future cash flows. Investors currently rely on the rate reconciliation table and other disclosures, including total income taxes paid, to evaluate income tax risks and opportunities. The Company adopted ASU No. 2023-09 as of January 1, 2025, and amendments were applied prospectively.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 ASSET ACQUISITIONS AND BUSINESS COMBINATIONS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Nevro Merger</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February 6, 2025, the Company entered into an Agreement and Plan of Merger (the “Nevro Merger Agreement”) with Nevro Corp. (“Nevro”) and Palmer Merger Sub, Inc., a wholly owned subsidiary of the Company (“Palmer Merger Sub”) (such transaction, the “Nevro Merger”). On April 3, 2025, pursuant to the terms of the Nevro Merger Agreement, Palmer Merger Sub merged with and into Nevro, with Nevro surviving as a wholly owned subsidiary of the Company. At the consummation of the Nevro Merger, each issued and outstanding share of common stock of Nevro, $0.001 par value per share, was converted into cash in an amount equal to $5.85 per share of common stock of Nevro.</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consideration paid by the Company in connection with its acquisition of Nevro was $252.5 million. The final purchase price allocation as of March 31, 2026 included net identifiable assets of $444.5 million and liabilities of $73.2 million, resulting in a bargain purchase gain of $118.8 million. The net identifiable assets were comprised of $147.5 million of deferred income taxes, $116.8 million of inventories, $70.8 million of accounts receivable, $56.0 million of intangible assets and $53.4 million of other assets. Total transaction costs incurred in connection with the Nevro Merger were $28.9 million for the year ended December 31, 2025, with $28.8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of transaction costs incurred during the three months ended June 30, 2025. Immaterial transaction costs were incurred during the three and six months ended June 30,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Asset Acquisitions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entered into a patent purchase agreement and acquired certain patents related to medical device technology in the spine field for a total consideration of $1.5 million, which was paid at closing. The Company recorded $1.5 million of intangible assets, with an estimated useful life of 15.5 years.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the Company entered into a license agreement and acquired software related to the imaging, navigation and robotics (“INR”) division for a total consideration of €8.0 million ($9.4 million). An initial payment of €4.0 million ($4.7 million) was made at closing and recorded as a developed technology intangible asset, with the remaining €4.0 million ($4.7 million) paid in the first quarter of 2026. The asset will be amortized over its estimated useful life of seven years. </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entered into a license agreement for certain patents of medical device technology in the spine field for a total of $5.0 million due at closing, and 1 percent license fee on future sales of products developed and covered under the license agreement. The Company recorded $5.0 million of intangible assets, with a useful life of 10.1 years.</w:t>
      </w:r>
    </w:p>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During the first quarter of 2024, the Company completed a share acquisition of a biotech company focused on research and development for hemostasis solutions. The fair value of the assets acquired are concentrated in a similar identified asset, in-process research and development (“IPR&amp;D”) of the acquired technology, thus satisfying the requirements of the screen test in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At the date of the acquisition, the Company determined that the development of the projects underway had not yet reached technological feasibility and that the research in process had no alternative future use. Accordingly, the acquired IPR&amp;D of $12.6 million was charged to research and development expense in the condensed consolidated statements of operations and comprehensive income. The purchase price consisted of $12.0 million of cash paid at closing. The transaction also provides for $12.0 million of contingent consideration which is payable upon meeting the Good Manufacturing Practice milestones, as promulgated by the U.S. Food and Drug Administration (the “FDA”), and consideration of $10.0 million contingent upon the developed products obtaining approval from the FDA. As of June 30, 2026, the milestones have not been met and as such, contingent consideration has not been recorded in this asset acquisition.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Business Combinations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completed one acquisition that was not material to the overall condensed consolidated financial statements during the periods presented. This acquisition has been included in the condensed consolidated financial statements from date of acquisition. The purchase price consisted of approximately $0.2 million of cash paid at closing and $3.9 million in contingent consideration payments, resulting in goodwill of $3.9 million and reacquired rights of $0.2 million based on the estimated fair value. The contingent payments for this acquisition are based upon achieving various performance milestones over a period of five years and are payable in cash.</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Throughout 2024, the Company completed three acquisitions that were not material to the overall condensed consolidated financial statements during the periods presented. These acquisitions have been included in the condensed consolidated financial statements from their respective dates of acquisition. The purchase prices in aggregate consisted of approximately $0.7 million of cash paid at closing and $25.0 million in contingent consideration payments, resulting in goodwill of $24.0 million and reacquired rights of $1.8 million based on the estimated fair values. The contingent payments for these acquisitions are based upon achieving various performance milestones over a period of five and ten years and are payable in a combination of cash and restricted stock units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4. NET SALES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net sales by product category for the three and six months ended June 30, 2026 and 2025, respectively:</w:t>
      </w:r>
    </w:p>
    <w:tbl>
      <w:tblPr>
        <w:tblW w:w="8205" w:type="dxa"/>
        <w:jc w:val="left"/>
        <w:tblInd w:w="0" w:type="dxa"/>
        <w:tblLayout w:type="fixed"/>
        <w:tblCellMar>
          <w:top w:w="28" w:type="dxa"/>
          <w:left w:w="28" w:type="dxa"/>
          <w:bottom w:w="28" w:type="dxa"/>
          <w:right w:w="28" w:type="dxa"/>
        </w:tblCellMar>
      </w:tblPr>
      <w:tblGrid>
        <w:gridCol w:w="830"/>
        <w:gridCol w:w="730"/>
        <w:gridCol w:w="73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Musculoskeletal Solutions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1,286,115 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Enabling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5. MARKETABLE SECURITIES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composition of our short-term and long-term marketable securities as of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1811"/>
        <w:gridCol w:w="1587"/>
        <w:gridCol w:w="1592"/>
        <w:gridCol w:w="211"/>
        <w:gridCol w:w="826"/>
        <w:gridCol w:w="109"/>
        <w:gridCol w:w="109"/>
        <w:gridCol w:w="109"/>
        <w:gridCol w:w="109"/>
        <w:gridCol w:w="257"/>
        <w:gridCol w:w="495"/>
        <w:gridCol w:w="134"/>
        <w:gridCol w:w="109"/>
        <w:gridCol w:w="109"/>
        <w:gridCol w:w="109"/>
        <w:gridCol w:w="211"/>
        <w:gridCol w:w="689"/>
        <w:gridCol w:w="109"/>
        <w:gridCol w:w="109"/>
        <w:gridCol w:w="109"/>
        <w:gridCol w:w="109"/>
        <w:gridCol w:w="211"/>
        <w:gridCol w:w="826"/>
        <w:gridCol w:w="156"/>
      </w:tblGrid>
      <w:tr>
        <w:trPr/>
        <w:tc>
          <w:tcPr>
            <w:tcW w:w="181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Short-term:</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marketable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245,358 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50" w:type="dxa"/>
        <w:jc w:val="left"/>
        <w:tblInd w:w="0" w:type="dxa"/>
        <w:tblLayout w:type="fixed"/>
        <w:tblCellMar>
          <w:top w:w="28" w:type="dxa"/>
          <w:left w:w="28" w:type="dxa"/>
          <w:bottom w:w="28" w:type="dxa"/>
          <w:right w:w="28" w:type="dxa"/>
        </w:tblCellMar>
      </w:tblPr>
      <w:tblGrid>
        <w:gridCol w:w="1837"/>
        <w:gridCol w:w="1613"/>
        <w:gridCol w:w="1620"/>
        <w:gridCol w:w="211"/>
        <w:gridCol w:w="721"/>
        <w:gridCol w:w="109"/>
        <w:gridCol w:w="109"/>
        <w:gridCol w:w="109"/>
        <w:gridCol w:w="109"/>
        <w:gridCol w:w="237"/>
        <w:gridCol w:w="525"/>
        <w:gridCol w:w="124"/>
        <w:gridCol w:w="109"/>
        <w:gridCol w:w="109"/>
        <w:gridCol w:w="109"/>
        <w:gridCol w:w="257"/>
        <w:gridCol w:w="495"/>
        <w:gridCol w:w="134"/>
        <w:gridCol w:w="109"/>
        <w:gridCol w:w="109"/>
        <w:gridCol w:w="109"/>
        <w:gridCol w:w="211"/>
        <w:gridCol w:w="721"/>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Short-term:</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marketable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Long-term: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short-term marketable securities have effective maturity dates of less than one year and the long-term marketable securities have effective maturity dates ranging from one to three years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fair value of assets and liabilities as of June 30, 2026 and December 31, 2025, respectively, including the following:</w:t>
      </w:r>
    </w:p>
    <w:tbl>
      <w:tblPr>
        <w:tblW w:w="10205" w:type="dxa"/>
        <w:jc w:val="left"/>
        <w:tblInd w:w="0" w:type="dxa"/>
        <w:tblLayout w:type="fixed"/>
        <w:tblCellMar>
          <w:top w:w="28" w:type="dxa"/>
          <w:left w:w="28" w:type="dxa"/>
          <w:bottom w:w="28" w:type="dxa"/>
          <w:right w:w="28" w:type="dxa"/>
        </w:tblCellMar>
      </w:tblPr>
      <w:tblGrid>
        <w:gridCol w:w="1819"/>
        <w:gridCol w:w="1595"/>
        <w:gridCol w:w="1601"/>
        <w:gridCol w:w="211"/>
        <w:gridCol w:w="826"/>
        <w:gridCol w:w="109"/>
        <w:gridCol w:w="109"/>
        <w:gridCol w:w="109"/>
        <w:gridCol w:w="109"/>
        <w:gridCol w:w="211"/>
        <w:gridCol w:w="826"/>
        <w:gridCol w:w="109"/>
        <w:gridCol w:w="109"/>
        <w:gridCol w:w="109"/>
        <w:gridCol w:w="109"/>
        <w:gridCol w:w="281"/>
        <w:gridCol w:w="545"/>
        <w:gridCol w:w="109"/>
        <w:gridCol w:w="109"/>
        <w:gridCol w:w="109"/>
        <w:gridCol w:w="109"/>
        <w:gridCol w:w="282"/>
        <w:gridCol w:w="544"/>
        <w:gridCol w:w="156"/>
      </w:tblGrid>
      <w:tr>
        <w:trPr/>
        <w:tc>
          <w:tcPr>
            <w:tcW w:w="181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84"/>
        <w:gridCol w:w="1561"/>
        <w:gridCol w:w="156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82"/>
        <w:gridCol w:w="544"/>
        <w:gridCol w:w="155"/>
      </w:tblGrid>
      <w:tr>
        <w:trPr/>
        <w:tc>
          <w:tcPr>
            <w:tcW w:w="178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marketable securities and certain cash equivalents are classified as Level 2 within the fair value hierarchy, as we measure their fair value using market prices for similar instruments and inputs such as actual trade data, benchmark yields, broker/dealer quotes and other similar data obtained from quoted market prices or independent pricing vendors.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of the revenue-based business acquisition liabilities was determined using a discounted cash flow model, probability model, and an option pricing methodology. The significant inputs of such models are not observable in the market, such as certain financial metric growth rates, volatility and discount rates, market price risk adjustment, projections associated with the applicable milestone, the interest rate, and the related probabilities and payment structure in the contingent consideration arrangement.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are the significant unobservable inputs used in the two valuation techniques:</w:t>
      </w:r>
    </w:p>
    <w:tbl>
      <w:tblPr>
        <w:tblW w:w="6063" w:type="dxa"/>
        <w:jc w:val="left"/>
        <w:tblInd w:w="0" w:type="dxa"/>
        <w:tblLayout w:type="fixed"/>
        <w:tblCellMar>
          <w:top w:w="28" w:type="dxa"/>
          <w:left w:w="28" w:type="dxa"/>
          <w:bottom w:w="28" w:type="dxa"/>
          <w:right w:w="28" w:type="dxa"/>
        </w:tblCellMar>
      </w:tblPr>
      <w:tblGrid>
        <w:gridCol w:w="808"/>
        <w:gridCol w:w="712"/>
        <w:gridCol w:w="714"/>
        <w:gridCol w:w="109"/>
        <w:gridCol w:w="109"/>
        <w:gridCol w:w="109"/>
        <w:gridCol w:w="209"/>
        <w:gridCol w:w="209"/>
        <w:gridCol w:w="211"/>
        <w:gridCol w:w="109"/>
        <w:gridCol w:w="109"/>
        <w:gridCol w:w="109"/>
        <w:gridCol w:w="209"/>
        <w:gridCol w:w="209"/>
        <w:gridCol w:w="211"/>
        <w:gridCol w:w="109"/>
        <w:gridCol w:w="109"/>
        <w:gridCol w:w="109"/>
        <w:gridCol w:w="465"/>
        <w:gridCol w:w="465"/>
        <w:gridCol w:w="660"/>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90"/>
        <w:jc w:val="left"/>
        <w:rPr/>
      </w:pPr>
      <w:r>
        <w:rPr>
          <w:rFonts w:ascii="Times New Roman;serif" w:hAnsi="Times New Roman;serif"/>
          <w:b w:val="false"/>
          <w:i/>
          <w:color w:val="000000"/>
          <w:sz w:val="16"/>
        </w:rPr>
        <w:t>*</w:t>
      </w:r>
      <w:r>
        <w:rPr>
          <w:color w:val="000000"/>
        </w:rPr>
        <w:t xml:space="preserve"> </w:t>
      </w:r>
      <w:r>
        <w:rPr>
          <w:rFonts w:ascii="Times New Roman;serif" w:hAnsi="Times New Roman;serif"/>
          <w:b w:val="false"/>
          <w:i/>
          <w:color w:val="000000"/>
          <w:sz w:val="16"/>
        </w:rPr>
        <w:t>The weighted average rates were calculated based on the relative fair value of each business acquisition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value of the business acquisition liabilities during the three and six months ended June 30, 2026 and 2025, respectively, included the following:</w:t>
      </w:r>
    </w:p>
    <w:tbl>
      <w:tblPr>
        <w:tblW w:w="10185" w:type="dxa"/>
        <w:jc w:val="left"/>
        <w:tblInd w:w="0" w:type="dxa"/>
        <w:tblLayout w:type="fixed"/>
        <w:tblCellMar>
          <w:top w:w="28" w:type="dxa"/>
          <w:left w:w="28" w:type="dxa"/>
          <w:bottom w:w="28" w:type="dxa"/>
          <w:right w:w="28" w:type="dxa"/>
        </w:tblCellMar>
      </w:tblPr>
      <w:tblGrid>
        <w:gridCol w:w="1658"/>
        <w:gridCol w:w="1457"/>
        <w:gridCol w:w="146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resulting from foreign currency fluctuations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cash 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RSU grants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business acquisition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payable reclassification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business acquisition liabilities were driven by changes in market conditions and the achievement of certain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7. INVENTORIES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included the following as of June 30, 2026 and December 31, 2025, respectively:</w:t>
      </w:r>
    </w:p>
    <w:tbl>
      <w:tblPr>
        <w:tblW w:w="4531" w:type="dxa"/>
        <w:jc w:val="left"/>
        <w:tblInd w:w="0" w:type="dxa"/>
        <w:tblLayout w:type="fixed"/>
        <w:tblCellMar>
          <w:top w:w="28" w:type="dxa"/>
          <w:left w:w="28" w:type="dxa"/>
          <w:bottom w:w="28" w:type="dxa"/>
          <w:right w:w="28" w:type="dxa"/>
        </w:tblCellMar>
      </w:tblPr>
      <w:tblGrid>
        <w:gridCol w:w="548"/>
        <w:gridCol w:w="482"/>
        <w:gridCol w:w="484"/>
        <w:gridCol w:w="211"/>
        <w:gridCol w:w="826"/>
        <w:gridCol w:w="109"/>
        <w:gridCol w:w="109"/>
        <w:gridCol w:w="109"/>
        <w:gridCol w:w="109"/>
        <w:gridCol w:w="273"/>
        <w:gridCol w:w="1072"/>
        <w:gridCol w:w="19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162,247 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532,568 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759,277 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2025, net adjustments to cost of sales related to excess and obsolete inventory were </w:t>
      </w:r>
      <w:r>
        <w:rPr>
          <w:rFonts w:ascii="Times New Roman;serif" w:hAnsi="Times New Roman;serif"/>
          <w:b w:val="false"/>
          <w:color w:val="000000"/>
          <w:sz w:val="20"/>
        </w:rPr>
        <w:t>$4.8 million</w:t>
      </w:r>
      <w:r>
        <w:rPr>
          <w:color w:val="000000"/>
          <w:shd w:fill="FFFFFF" w:val="clear"/>
        </w:rPr>
        <w:t xml:space="preserve"> </w:t>
      </w:r>
      <w:r>
        <w:rPr>
          <w:rFonts w:ascii="Times New Roman;serif" w:hAnsi="Times New Roman;serif"/>
          <w:b w:val="false"/>
          <w:color w:val="000000"/>
          <w:sz w:val="20"/>
          <w:shd w:fill="FFFFFF" w:val="clear"/>
        </w:rPr>
        <w:t xml:space="preserve">and $5.0 million, respectively. The net adjustments for the three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2025 reflect a combination of additional expense for excess and obsolete related provisions ($9.3 million and $9.5 million, respectively) offset by sales and </w:t>
      </w:r>
      <w:r>
        <w:rPr>
          <w:rFonts w:ascii="Times New Roman;serif" w:hAnsi="Times New Roman;serif"/>
          <w:b w:val="false"/>
          <w:color w:val="000000"/>
          <w:sz w:val="20"/>
        </w:rPr>
        <w:t xml:space="preserve">disposals </w:t>
      </w:r>
      <w:r>
        <w:rPr>
          <w:rFonts w:ascii="Times New Roman;serif" w:hAnsi="Times New Roman;serif"/>
          <w:b w:val="false"/>
          <w:color w:val="000000"/>
          <w:sz w:val="20"/>
          <w:shd w:fill="FFFFFF" w:val="clear"/>
        </w:rPr>
        <w:t>($4.5 million and $4.5 million, respectively) of inventory for which an excess and obsolete provision was previously recorded.</w:t>
      </w:r>
    </w:p>
    <w:p>
      <w:pPr>
        <w:pStyle w:val="TextBody"/>
        <w:bidi w:val="0"/>
        <w:spacing w:lineRule="auto" w:line="276" w:before="0" w:after="200"/>
        <w:ind w:left="0" w:right="0" w:firstLine="720"/>
        <w:jc w:val="both"/>
        <w:rPr/>
      </w:pPr>
      <w:r>
        <w:rPr>
          <w:rFonts w:ascii="Times New Roman;serif" w:hAnsi="Times New Roman;serif"/>
          <w:b w:val="false"/>
          <w:color w:val="000000"/>
          <w:sz w:val="20"/>
          <w:shd w:fill="FFFFFF" w:val="clear"/>
        </w:rPr>
        <w:t xml:space="preserve">During the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2025, net adjustments to cost of sales related to excess and obsolete inventory were </w:t>
      </w:r>
      <w:r>
        <w:rPr>
          <w:rFonts w:ascii="Times New Roman;serif" w:hAnsi="Times New Roman;serif"/>
          <w:b w:val="false"/>
          <w:color w:val="000000"/>
          <w:sz w:val="20"/>
        </w:rPr>
        <w:t>$9.8 million</w:t>
      </w:r>
      <w:r>
        <w:rPr>
          <w:color w:val="000000"/>
          <w:shd w:fill="FFFFFF" w:val="clear"/>
        </w:rPr>
        <w:t xml:space="preserve"> </w:t>
      </w:r>
      <w:r>
        <w:rPr>
          <w:rFonts w:ascii="Times New Roman;serif" w:hAnsi="Times New Roman;serif"/>
          <w:b w:val="false"/>
          <w:color w:val="000000"/>
          <w:sz w:val="20"/>
          <w:shd w:fill="FFFFFF" w:val="clear"/>
        </w:rPr>
        <w:t xml:space="preserve">and $10.9 million, respectively. The net adjustments for the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2025 reflect a combination of additional expense for excess and obsolete related provisions ($21.0 million and $19.6 million, respectively) offset by sales and </w:t>
      </w:r>
      <w:r>
        <w:rPr>
          <w:rFonts w:ascii="Times New Roman;serif" w:hAnsi="Times New Roman;serif"/>
          <w:b w:val="false"/>
          <w:color w:val="000000"/>
          <w:sz w:val="20"/>
        </w:rPr>
        <w:t xml:space="preserve">disposals </w:t>
      </w:r>
      <w:r>
        <w:rPr>
          <w:rFonts w:ascii="Times New Roman;serif" w:hAnsi="Times New Roman;serif"/>
          <w:b w:val="false"/>
          <w:color w:val="000000"/>
          <w:sz w:val="20"/>
          <w:shd w:fill="FFFFFF" w:val="clear"/>
        </w:rPr>
        <w:t>($11.2 million and $8.7 million, respectively) of inventory for which an excess and obsolete provision was previously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8. PROPERTY AND EQUIPMENT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included the following as of June 30, 2026 and December 31, 2025, respectively:</w:t>
      </w:r>
    </w:p>
    <w:tbl>
      <w:tblPr>
        <w:tblW w:w="7985" w:type="dxa"/>
        <w:jc w:val="left"/>
        <w:tblInd w:w="0" w:type="dxa"/>
        <w:tblLayout w:type="fixed"/>
        <w:tblCellMar>
          <w:top w:w="28" w:type="dxa"/>
          <w:left w:w="28" w:type="dxa"/>
          <w:bottom w:w="28" w:type="dxa"/>
          <w:right w:w="28" w:type="dxa"/>
        </w:tblCellMar>
      </w:tblPr>
      <w:tblGrid>
        <w:gridCol w:w="1486"/>
        <w:gridCol w:w="1307"/>
        <w:gridCol w:w="1317"/>
        <w:gridCol w:w="294"/>
        <w:gridCol w:w="294"/>
        <w:gridCol w:w="296"/>
        <w:gridCol w:w="109"/>
        <w:gridCol w:w="109"/>
        <w:gridCol w:w="109"/>
        <w:gridCol w:w="211"/>
        <w:gridCol w:w="826"/>
        <w:gridCol w:w="109"/>
        <w:gridCol w:w="109"/>
        <w:gridCol w:w="109"/>
        <w:gridCol w:w="109"/>
        <w:gridCol w:w="211"/>
        <w:gridCol w:w="826"/>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1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modules, and cases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equipment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1,303,619 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1,269,452 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564,452 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Instruments are hand-held devices used by surgeons to install implants during surgery. Modules and cases are used to store and transport the instruments and implants.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Depreciation expense related to property and equipment was as follows during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6361" w:type="dxa"/>
        <w:jc w:val="left"/>
        <w:tblInd w:w="0" w:type="dxa"/>
        <w:tblLayout w:type="fixed"/>
        <w:tblCellMar>
          <w:top w:w="28" w:type="dxa"/>
          <w:left w:w="28" w:type="dxa"/>
          <w:bottom w:w="28" w:type="dxa"/>
          <w:right w:w="28" w:type="dxa"/>
        </w:tblCellMar>
      </w:tblPr>
      <w:tblGrid>
        <w:gridCol w:w="423"/>
        <w:gridCol w:w="372"/>
        <w:gridCol w:w="37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 GOODWILL AND INTANGIBLE ASSETS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change in the carrying amount of goodwill during the twelve months ended December 31, 2025 and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2026, respectively, included the following:</w:t>
      </w:r>
    </w:p>
    <w:tbl>
      <w:tblPr>
        <w:tblW w:w="3635" w:type="dxa"/>
        <w:jc w:val="left"/>
        <w:tblInd w:w="0" w:type="dxa"/>
        <w:tblLayout w:type="fixed"/>
        <w:tblCellMar>
          <w:top w:w="28" w:type="dxa"/>
          <w:left w:w="28" w:type="dxa"/>
          <w:bottom w:w="28" w:type="dxa"/>
          <w:right w:w="28" w:type="dxa"/>
        </w:tblCellMar>
      </w:tblPr>
      <w:tblGrid>
        <w:gridCol w:w="831"/>
        <w:gridCol w:w="731"/>
        <w:gridCol w:w="732"/>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1,435,033 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and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1,438,216 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as of June 30, 2026 included the following:</w:t>
      </w:r>
    </w:p>
    <w:tbl>
      <w:tblPr>
        <w:tblW w:w="9385" w:type="dxa"/>
        <w:jc w:val="left"/>
        <w:tblInd w:w="0" w:type="dxa"/>
        <w:tblLayout w:type="fixed"/>
        <w:tblCellMar>
          <w:top w:w="28" w:type="dxa"/>
          <w:left w:w="28" w:type="dxa"/>
          <w:bottom w:w="28" w:type="dxa"/>
          <w:right w:w="28" w:type="dxa"/>
        </w:tblCellMar>
      </w:tblPr>
      <w:tblGrid>
        <w:gridCol w:w="1306"/>
        <w:gridCol w:w="1148"/>
        <w:gridCol w:w="1161"/>
        <w:gridCol w:w="360"/>
        <w:gridCol w:w="360"/>
        <w:gridCol w:w="361"/>
        <w:gridCol w:w="109"/>
        <w:gridCol w:w="109"/>
        <w:gridCol w:w="109"/>
        <w:gridCol w:w="211"/>
        <w:gridCol w:w="976"/>
        <w:gridCol w:w="109"/>
        <w:gridCol w:w="109"/>
        <w:gridCol w:w="109"/>
        <w:gridCol w:w="109"/>
        <w:gridCol w:w="211"/>
        <w:gridCol w:w="901"/>
        <w:gridCol w:w="109"/>
        <w:gridCol w:w="109"/>
        <w:gridCol w:w="109"/>
        <w:gridCol w:w="109"/>
        <w:gridCol w:w="211"/>
        <w:gridCol w:w="82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 xml:space="preserve">Period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w:t>
              <w:br/>
              <w:t>net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&amp; other intangibles</w:t>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1,122,476 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(429,852)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as of December 31, 2025 included the following:</w:t>
      </w:r>
    </w:p>
    <w:tbl>
      <w:tblPr>
        <w:tblW w:w="9385" w:type="dxa"/>
        <w:jc w:val="left"/>
        <w:tblInd w:w="0" w:type="dxa"/>
        <w:tblLayout w:type="fixed"/>
        <w:tblCellMar>
          <w:top w:w="28" w:type="dxa"/>
          <w:left w:w="28" w:type="dxa"/>
          <w:bottom w:w="28" w:type="dxa"/>
          <w:right w:w="28" w:type="dxa"/>
        </w:tblCellMar>
      </w:tblPr>
      <w:tblGrid>
        <w:gridCol w:w="1306"/>
        <w:gridCol w:w="1148"/>
        <w:gridCol w:w="1161"/>
        <w:gridCol w:w="360"/>
        <w:gridCol w:w="360"/>
        <w:gridCol w:w="361"/>
        <w:gridCol w:w="109"/>
        <w:gridCol w:w="109"/>
        <w:gridCol w:w="109"/>
        <w:gridCol w:w="211"/>
        <w:gridCol w:w="976"/>
        <w:gridCol w:w="109"/>
        <w:gridCol w:w="109"/>
        <w:gridCol w:w="109"/>
        <w:gridCol w:w="109"/>
        <w:gridCol w:w="211"/>
        <w:gridCol w:w="901"/>
        <w:gridCol w:w="109"/>
        <w:gridCol w:w="109"/>
        <w:gridCol w:w="109"/>
        <w:gridCol w:w="109"/>
        <w:gridCol w:w="211"/>
        <w:gridCol w:w="82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 xml:space="preserve">Period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w:t>
              <w:br/>
              <w:t>net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&amp; other intangibles</w:t>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1,117,199 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amortization of intangible assets for future periods as of June 30, 2026:</w:t>
      </w:r>
    </w:p>
    <w:tbl>
      <w:tblPr>
        <w:tblW w:w="2331" w:type="dxa"/>
        <w:jc w:val="left"/>
        <w:tblInd w:w="0" w:type="dxa"/>
        <w:tblLayout w:type="fixed"/>
        <w:tblCellMar>
          <w:top w:w="28" w:type="dxa"/>
          <w:left w:w="28" w:type="dxa"/>
          <w:bottom w:w="28" w:type="dxa"/>
          <w:right w:w="28" w:type="dxa"/>
        </w:tblCellMar>
      </w:tblPr>
      <w:tblGrid>
        <w:gridCol w:w="413"/>
        <w:gridCol w:w="363"/>
        <w:gridCol w:w="364"/>
        <w:gridCol w:w="211"/>
        <w:gridCol w:w="82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w:t>
              <w:br/>
              <w:t>Amortization</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10. ACCRUED EXPENSES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as of June 30, 2026 and December 31, 2025, respectively, included the following:</w:t>
      </w:r>
    </w:p>
    <w:tbl>
      <w:tblPr>
        <w:tblW w:w="6684" w:type="dxa"/>
        <w:jc w:val="left"/>
        <w:tblInd w:w="0" w:type="dxa"/>
        <w:tblLayout w:type="fixed"/>
        <w:tblCellMar>
          <w:top w:w="28" w:type="dxa"/>
          <w:left w:w="28" w:type="dxa"/>
          <w:bottom w:w="28" w:type="dxa"/>
          <w:right w:w="28" w:type="dxa"/>
        </w:tblCellMar>
      </w:tblPr>
      <w:tblGrid>
        <w:gridCol w:w="1455"/>
        <w:gridCol w:w="1279"/>
        <w:gridCol w:w="1286"/>
        <w:gridCol w:w="211"/>
        <w:gridCol w:w="826"/>
        <w:gridCol w:w="109"/>
        <w:gridCol w:w="109"/>
        <w:gridCol w:w="109"/>
        <w:gridCol w:w="109"/>
        <w:gridCol w:w="211"/>
        <w:gridCol w:w="82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other employee-related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settlements and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non-income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Rebates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11. DEBT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Line of Credit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2023, we entered into an unsecured credit agreement with U.S. Bank National Association, as administrative agent, Citizens Bank, N.A., as syndication agent, Royal Bank of Canada, as documentation agent, U.S. Bank National Association and Citizens Bank, N.A., as joint lead arrangers and joint book runners, and the other lenders referred to therein (the “September 2023 Credit Agreement”), that provides a revolving credit facility permitting borrowings up to $400.0 million and has a termination date of September 27, 2028. We may request an increase in the revolving commitments in an aggregate amount not to exceed (i) $200 million or (ii) an unlimited amount, so long as the Leverage Ratio (as defined in the September 2023 Credit Agreement) is at least 0.25 to 1.00 less than the applicable Leverage Ratio then required under the September 2023 Credit Agreement. Revolving loans under the September 2023 Credit Agreement bear interest at either a base rate or the Term SOFR Rate (as defined in the September 2023 Credit Agreement) plus, in each case, an applicable margin, as determined in accordance with the provisions of the September 2023 Credit Agreement. The Applicable Margin ranges from 0.125% to 0.625% for the Base Rate and 1.125% to 1.625% for the Term SOFR Rate (each as defined in the September 2023 Credit Agreement). We may also request Swingline Loans at either the Base Rate or the Daily Term SOFR Rate (each as defined in the September 2023 Credit Agreement). The September 2023 Credit Agreement is guaranteed by certain direct or indirect wholly owned subsidiaries of the Company. The September 2023 Credit Agreement contains financial and other customary covenants, including a funded net indebtedness to adjusted EBITDA ratio. As of June 30, 2026, we had no outstanding borrowings under the September 2023 Credit Agreement and we were in compliance with all covenants.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0.375% Senior Convertible Notes due 2025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September 1, 2023, the Company entered into the Merger Agreement (the “NuVasive Merger Agreement”) with NuVasive, Inc. (“NuVasive”) and Zebra Merger Sub Inc., a wholly owned subsidiary of the Company (“Merger Sub”). Pursuant to the terms of the NuVasive Merger Agreement, Merger Sub merged with and into NuVasive (the “NuVasive Merger”), with NuVasive surviving as a wholly owned subsidiary of the Company. In connection with the closing of the NuVasive Merger, the Company, NuVasive and Wilmington Trust National Association, as trustee (the “Trustee”), entered into a supplemental agreement (the “First Supplemental Indenture”) to the Indenture, dated March 2, 2020 (the “Base Indenture”), by and between NuVasive and the Trustee, relating to NuVasive’s $450.0 million in aggregate principal amount of 0.375% Convertible Senior Notes due 2025 (the “2025 Notes”). On March 15, 2025, the $450.0 million in remaining aggregate principal amount of the 2025 Notes was paid off, net of an immaterial number of converted units that were settled in cash. There were no 2025 Notes outstanding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interest expense recognized on the 2025 Notes for the three months ended June 30, 2026 and 2025. There was no interest expense and $6.9 million of interest expense recognized on the 2025 Notes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 EQUITY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May 15, 2025, our Board of Directors (the “Board”) approved a new sh</w:t>
      </w:r>
      <w:r>
        <w:rPr>
          <w:rFonts w:ascii="Times New Roman;serif" w:hAnsi="Times New Roman;serif"/>
          <w:b w:val="false"/>
          <w:color w:val="000000"/>
          <w:sz w:val="20"/>
          <w:shd w:fill="FFFFFF" w:val="clear"/>
        </w:rPr>
        <w:t>are repurchase program that authorizes the Company to repurchase up to $500.0 million of the Company’s Class A Common Stock (</w:t>
      </w:r>
      <w:r>
        <w:rPr>
          <w:color w:val="000000"/>
        </w:rPr>
        <w:t>“</w:t>
      </w:r>
      <w:r>
        <w:rPr>
          <w:rFonts w:ascii="Times New Roman;serif" w:hAnsi="Times New Roman;serif"/>
          <w:b w:val="false"/>
          <w:color w:val="000000"/>
          <w:sz w:val="20"/>
          <w:shd w:fill="FFFFFF" w:val="clear"/>
        </w:rPr>
        <w:t>Class A Common</w:t>
      </w:r>
      <w:r>
        <w:rPr>
          <w:color w:val="000000"/>
        </w:rPr>
        <w:t>”</w:t>
      </w:r>
      <w:r>
        <w:rPr>
          <w:rFonts w:ascii="Times New Roman;serif" w:hAnsi="Times New Roman;serif"/>
          <w:b w:val="false"/>
          <w:color w:val="000000"/>
          <w:sz w:val="20"/>
          <w:shd w:fill="FFFFFF" w:val="clear"/>
        </w:rPr>
        <w:t xml:space="preserve">). Repurchases may be made through privately negotiated transactions or open market transactions, including pursuant to a trading plan in accordance with Rule 10b5-1 and/or Rule 10b-18 under the Exchange Act. The repurchase program has no time limit and may be suspended for periods or discontinued at any time. </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1.6 million shares for a total of $136.1 million, at an average price of $82.96 per share, under this repurchase program. As of June 30, 2026, the Company had a remaining authorization to repurchase a total of $253.9 million of the Company’s Class A Common.</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repurchased by the Company are accounted for under the constructive retirement method, in which the shares repurchased are immediately retired, as there is no plan to reissue the shares. The value of the retired shares includes the 1% excise tax accrual as a result of the Inflation Reduction Act of 2022. The Company made an accounting policy election to charge the excess of repurchase price over par value entirely to retained earnings.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for a total of 775,000,000 authorized shares of common stock. Of the authorized number of shares of common stock, 500,000,000 shares are designated as Class A Common, and 275,000,000 shares are designated as the Class B Common Stock (“Class B Common”).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holders of Class A Common are entitled to one vote for each share of Class A Common held. The holders of Class B Common are entitled to 10 votes for each share of Class B Common held. Each share of our Class B Common is convertible at any time at the option of the holder into one share of our Class A Common. In addition, each share of our Class B Common will convert automatically into one share of our Class A Common upon any transfer, whether or not for value, except for permitted transfers. For more details relating to the conversion of our Class B Common please see “Description of Securities of the Registrant” filed as Exhibit 4.2 to our Annual Report on Form 10-K filed with the SEC on February 24, 2026. The holders of Class A Common and Class B Common vote together as one class of common stock. Except for voting rights, the Class A Common and Class B Common have the same rights and privileges.</w:t>
      </w:r>
    </w:p>
    <w:p>
      <w:pPr>
        <w:pStyle w:val="TextBody"/>
        <w:bidi w:val="0"/>
        <w:spacing w:lineRule="auto" w:line="288" w:before="0" w:after="2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Accumulated Other Comprehensive Income (Loss)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tables below present the changes in each component of accumulated other comprehensive income/(loss), including current period other comprehensive income/(loss) and reclassifications out of accumulated other comprehensive income/(loss) for the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10205" w:type="dxa"/>
        <w:jc w:val="left"/>
        <w:tblInd w:w="0" w:type="dxa"/>
        <w:tblLayout w:type="fixed"/>
        <w:tblCellMar>
          <w:top w:w="28" w:type="dxa"/>
          <w:left w:w="28" w:type="dxa"/>
          <w:bottom w:w="28" w:type="dxa"/>
          <w:right w:w="28" w:type="dxa"/>
        </w:tblCellMar>
      </w:tblPr>
      <w:tblGrid>
        <w:gridCol w:w="1393"/>
        <w:gridCol w:w="1187"/>
        <w:gridCol w:w="1193"/>
        <w:gridCol w:w="410"/>
        <w:gridCol w:w="1309"/>
        <w:gridCol w:w="211"/>
        <w:gridCol w:w="109"/>
        <w:gridCol w:w="109"/>
        <w:gridCol w:w="109"/>
        <w:gridCol w:w="386"/>
        <w:gridCol w:w="1322"/>
        <w:gridCol w:w="199"/>
        <w:gridCol w:w="109"/>
        <w:gridCol w:w="109"/>
        <w:gridCol w:w="109"/>
        <w:gridCol w:w="375"/>
        <w:gridCol w:w="1284"/>
        <w:gridCol w:w="282"/>
      </w:tblGrid>
      <w:tr>
        <w:trPr/>
        <w:tc>
          <w:tcPr>
            <w:tcW w:w="139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 on marketable securities, net</w:t>
              <w:br/>
              <w:t>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December 31, 2025</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before reclassifications</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income/(loss), net of tax</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tax</w:t>
            </w:r>
          </w:p>
        </w:tc>
        <w:tc>
          <w:tcPr>
            <w:tcW w:w="17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June 30, 2026</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95"/>
        <w:gridCol w:w="1189"/>
        <w:gridCol w:w="1194"/>
        <w:gridCol w:w="505"/>
        <w:gridCol w:w="1154"/>
        <w:gridCol w:w="262"/>
        <w:gridCol w:w="109"/>
        <w:gridCol w:w="109"/>
        <w:gridCol w:w="109"/>
        <w:gridCol w:w="387"/>
        <w:gridCol w:w="1323"/>
        <w:gridCol w:w="199"/>
        <w:gridCol w:w="109"/>
        <w:gridCol w:w="109"/>
        <w:gridCol w:w="109"/>
        <w:gridCol w:w="375"/>
        <w:gridCol w:w="1285"/>
        <w:gridCol w:w="283"/>
      </w:tblGrid>
      <w:tr>
        <w:trPr/>
        <w:tc>
          <w:tcPr>
            <w:tcW w:w="139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 on marketable securities, net</w:t>
              <w:br/>
              <w:t>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December 31, 2024</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(6,544)</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(6,861)</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before reclassifications</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income/(loss), net of tax</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tax</w:t>
            </w:r>
          </w:p>
        </w:tc>
        <w:tc>
          <w:tcPr>
            <w:tcW w:w="16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16,783 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17,100 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June 30, 2025</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net of tax, related to unrealized gains/losses on marketable securities were released to other income, net in our condensed consolidated statements of operations and comprehensive income.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Earnings Per Common Share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computes basic earnings per share using the weighted-average number of common shares outstanding during the period. Diluted earnings per share assumes the conversion, exercise or issuance of all potential common stock equivalents, unless the effect of inclusion is anti-dilutive. For purposes of this calculation, common stock equivalents include the Company’s stock options, unvested RSUs, and performance-based restricted stock units (“PRSUs”). These are included in basic net income per share as of the date that all necessary conditions have been satisfied and are included in the denominator for dilutive calculation for the entire period if such shares would be issuable as of the end of the reporting period assuming the end of the reporting period was the end of the contingency period.</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sets forth the computation of basic and diluted earnings per share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10205" w:type="dxa"/>
        <w:jc w:val="left"/>
        <w:tblInd w:w="0" w:type="dxa"/>
        <w:tblLayout w:type="fixed"/>
        <w:tblCellMar>
          <w:top w:w="28" w:type="dxa"/>
          <w:left w:w="28" w:type="dxa"/>
          <w:bottom w:w="28" w:type="dxa"/>
          <w:right w:w="28" w:type="dxa"/>
        </w:tblCellMar>
      </w:tblPr>
      <w:tblGrid>
        <w:gridCol w:w="1708"/>
        <w:gridCol w:w="1438"/>
        <w:gridCol w:w="14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0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for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and diluted net income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 RSUs, and PRSUs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diluted</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and RSUs excluded from the calculation</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4,926</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warrants excluded from the calculation</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13. STOCK-BASED AWARDS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four stock plans: our 2012 Equity Incentive Plan (the “2012 Plan”), our 2021 Equity Incentive Plan (as amended to date, the “2021 Plan”), the NuVasive 2014 Equity Incentive Plan (the “NuVasive 2014 Plan”), and the Ellipse Technologies 2015 Incentive Award Plan (the “Ellipse 2015 Plan” and, together with the 2012 Plan, the 2021 Plan, and NuVasive 2014 Plan, the “Plans”). The 2021 Plan is the only plan pursuant to which new awards may be granted.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2012 Plan was approved by our Board in March 2012, and by our stockholders in June 2012. The 2012 Plan terminated as to new awards pursuant to its terms in 2022. Following effectiveness of the 2021 Plan, we have not issued any additional awards under the 2012 Plan; however, awards previously granted under the 2012 Plan remain outstanding and are administered by our Board under the terms and conditions of the 2012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2021 Plan was approved by our Board in March 2021, and by our stockholders in June 2021. The purpose of the 2021 Plan is to provide incentives to employees, directors, and consultants of Globus. The 2021 Plan is administered by the Board or its delegates. Under the 2021 Plan, as amended to date, the aggregate number of shares of Class A Common that are able to be issued subject to options and other awards is equal to the sum of (i) 12,000,000 shares, (ii) any shares available for issuance under the 2012 Plan as of June 3, 2021 and (iii) any shares underlying awards outstanding under the 2012 Plan or 2021 Plan as of June 3, 2021 that, on or after that date, are forfeited, terminated, expired or lapse for any reason, or are settled for cash without delivery of shares. The number of shares that may be issued or transferred pursuant to incentive stock options under the 2021 Plan is limited to 12,000,000 shares. The shares of Class A Common covered by the 2021 Plan include authorized but unissued shares, treasury shares or shares of common stock purchased on the open market. The number, type of awards, exercise price, and vesting terms are determined by the Board or its delegates in accordance with the terms of the 2021 Plan. The options granted expire on a date specified by the Board, which generally is ten years from the grant date. Options granted to employees generally vest in varying installments over a four-year period. </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connection with the NuVasive Merger, the Company assumed outstanding awards for the RSUs and PRSUs under the NuVasive 2014 Plan and the Ellipse 2015 Plan in accordance with the terms in the NuVasive Merger Agreement. </w:t>
      </w:r>
      <w:r>
        <w:rPr>
          <w:rFonts w:ascii="Times New Roman;serif" w:hAnsi="Times New Roman;serif"/>
          <w:b w:val="false"/>
          <w:color w:val="000000"/>
          <w:sz w:val="20"/>
          <w:shd w:fill="FFFFFF" w:val="clear"/>
        </w:rPr>
        <w:t>The issuance amount of the PRSUs is determined by the Compensation Committee of the Board. Share payout levels range from 0% to 100% depending on the respective terms of an award.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pursuant to the 2021 Plan, the NuVasive 2014 Plan and the Ellipse 2015 Plan, there were 14,005,800 shares, 0 shares and 8,861 shares, respectively, of Class A Common reserved for issuance and 4,496,678 shares, 0 shares and 0 shares, respectively, of Class A Common available for future grants. The NuVasive 2014 Plan terminated as to new awards pursuant to its terms in the second quarter of 2024. In accordance with its terms, the Ellipse 2015 Plan terminated as to new awards pursuant to its terms in the fourth quarter of 2025.</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Stock option activity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2026 is summarized as follows: </w:t>
      </w:r>
    </w:p>
    <w:tbl>
      <w:tblPr>
        <w:tblW w:w="8463" w:type="dxa"/>
        <w:jc w:val="left"/>
        <w:tblInd w:w="0" w:type="dxa"/>
        <w:tblLayout w:type="fixed"/>
        <w:tblCellMar>
          <w:top w:w="28" w:type="dxa"/>
          <w:left w:w="28" w:type="dxa"/>
          <w:bottom w:w="28" w:type="dxa"/>
          <w:right w:w="28" w:type="dxa"/>
        </w:tblCellMar>
      </w:tblPr>
      <w:tblGrid>
        <w:gridCol w:w="1065"/>
        <w:gridCol w:w="935"/>
        <w:gridCol w:w="940"/>
        <w:gridCol w:w="489"/>
        <w:gridCol w:w="489"/>
        <w:gridCol w:w="491"/>
        <w:gridCol w:w="109"/>
        <w:gridCol w:w="109"/>
        <w:gridCol w:w="109"/>
        <w:gridCol w:w="211"/>
        <w:gridCol w:w="616"/>
        <w:gridCol w:w="109"/>
        <w:gridCol w:w="109"/>
        <w:gridCol w:w="109"/>
        <w:gridCol w:w="109"/>
        <w:gridCol w:w="315"/>
        <w:gridCol w:w="315"/>
        <w:gridCol w:w="316"/>
        <w:gridCol w:w="109"/>
        <w:gridCol w:w="109"/>
        <w:gridCol w:w="109"/>
        <w:gridCol w:w="211"/>
        <w:gridCol w:w="82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w:t>
              <w:br/>
              <w:t>Shares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(thousands)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at June 30, 2026</w:t>
            </w:r>
          </w:p>
        </w:tc>
        <w:tc>
          <w:tcPr>
            <w:tcW w:w="146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total intrinsic value of stock options exercised was $8.5 million and $1.2 million during the 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 The total intrinsic value of stock options exercised was $30.5 million and $13.5 million during the six months ended June 30, 2026 and 2025, respectively.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options was estimated on the date of the grant using a Black-Scholes option pricing model with the following assumptions: </w:t>
      </w:r>
    </w:p>
    <w:tbl>
      <w:tblPr>
        <w:tblW w:w="5672" w:type="dxa"/>
        <w:jc w:val="left"/>
        <w:tblInd w:w="0" w:type="dxa"/>
        <w:tblLayout w:type="fixed"/>
        <w:tblCellMar>
          <w:top w:w="28" w:type="dxa"/>
          <w:left w:w="28" w:type="dxa"/>
          <w:bottom w:w="28" w:type="dxa"/>
          <w:right w:w="28" w:type="dxa"/>
        </w:tblCellMar>
      </w:tblPr>
      <w:tblGrid>
        <w:gridCol w:w="771"/>
        <w:gridCol w:w="677"/>
        <w:gridCol w:w="681"/>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197"/>
        <w:gridCol w:w="197"/>
        <w:gridCol w:w="28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4.03%</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weighted average grant date fair value of stock options granted during the 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was $35.26 and $29.45 per share, respectively. The weighted average grant date fair value of stock options granted during the six months ended June 30, 2026 and 2025 was $36.34 and $35.65 per share,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RSU activity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2026 is summarized as follows: </w:t>
      </w:r>
    </w:p>
    <w:tbl>
      <w:tblPr>
        <w:tblW w:w="7568" w:type="dxa"/>
        <w:jc w:val="left"/>
        <w:tblInd w:w="0" w:type="dxa"/>
        <w:tblLayout w:type="fixed"/>
        <w:tblCellMar>
          <w:top w:w="28" w:type="dxa"/>
          <w:left w:w="28" w:type="dxa"/>
          <w:bottom w:w="28" w:type="dxa"/>
          <w:right w:w="28" w:type="dxa"/>
        </w:tblCellMar>
      </w:tblPr>
      <w:tblGrid>
        <w:gridCol w:w="1065"/>
        <w:gridCol w:w="935"/>
        <w:gridCol w:w="940"/>
        <w:gridCol w:w="454"/>
        <w:gridCol w:w="454"/>
        <w:gridCol w:w="456"/>
        <w:gridCol w:w="109"/>
        <w:gridCol w:w="109"/>
        <w:gridCol w:w="109"/>
        <w:gridCol w:w="365"/>
        <w:gridCol w:w="1066"/>
        <w:gridCol w:w="188"/>
        <w:gridCol w:w="109"/>
        <w:gridCol w:w="109"/>
        <w:gridCol w:w="109"/>
        <w:gridCol w:w="290"/>
        <w:gridCol w:w="290"/>
        <w:gridCol w:w="411"/>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w:t>
              <w:br/>
              <w:t>Units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36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PRSU activity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2026 is summarized as follows:</w:t>
      </w:r>
    </w:p>
    <w:tbl>
      <w:tblPr>
        <w:tblW w:w="8963" w:type="dxa"/>
        <w:jc w:val="left"/>
        <w:tblInd w:w="0" w:type="dxa"/>
        <w:tblLayout w:type="fixed"/>
        <w:tblCellMar>
          <w:top w:w="28" w:type="dxa"/>
          <w:left w:w="28" w:type="dxa"/>
          <w:bottom w:w="28" w:type="dxa"/>
          <w:right w:w="28" w:type="dxa"/>
        </w:tblCellMar>
      </w:tblPr>
      <w:tblGrid>
        <w:gridCol w:w="1065"/>
        <w:gridCol w:w="935"/>
        <w:gridCol w:w="940"/>
        <w:gridCol w:w="919"/>
        <w:gridCol w:w="919"/>
        <w:gridCol w:w="921"/>
        <w:gridCol w:w="109"/>
        <w:gridCol w:w="109"/>
        <w:gridCol w:w="109"/>
        <w:gridCol w:w="365"/>
        <w:gridCol w:w="1066"/>
        <w:gridCol w:w="188"/>
        <w:gridCol w:w="109"/>
        <w:gridCol w:w="109"/>
        <w:gridCol w:w="109"/>
        <w:gridCol w:w="290"/>
        <w:gridCol w:w="290"/>
        <w:gridCol w:w="411"/>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w:t>
              <w:br/>
              <w:t>Units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27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27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Compensation expense related to stock options granted to employees and non-employees under the Plans during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 was as follows:</w:t>
      </w:r>
    </w:p>
    <w:tbl>
      <w:tblPr>
        <w:tblW w:w="10205" w:type="dxa"/>
        <w:jc w:val="left"/>
        <w:tblInd w:w="0" w:type="dxa"/>
        <w:tblLayout w:type="fixed"/>
        <w:tblCellMar>
          <w:top w:w="28" w:type="dxa"/>
          <w:left w:w="28" w:type="dxa"/>
          <w:bottom w:w="28" w:type="dxa"/>
          <w:right w:w="28" w:type="dxa"/>
        </w:tblCellMar>
      </w:tblPr>
      <w:tblGrid>
        <w:gridCol w:w="1909"/>
        <w:gridCol w:w="1546"/>
        <w:gridCol w:w="155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9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classified into Acquisition-Related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stock-based compensation capitalized into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53,670 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$117.3 million of unrecognized compensation expense related to unvested employee stock options, RSUs, and PRSUs that vest over a weighted average period of 2.7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14. INCOME TAXES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computing our income tax provision, we make certain estimates and judgments, such as estimated annual taxable income or loss, annual effective tax rate, nature and timing of permanent and temporary differences between taxable income for financial reporting and tax reporting, and the recoverability of deferred tax assets. Our estimates and assumptions may change as new events occur, additional information is obtained, or as the tax environment changes. Should facts and circumstances change during a quarter causing a material change to the estimated effective income tax rate, a cumulative adjustment is recorded.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“OBBBA”) was signed into law in 2025 and, among other things, modifies the international tax regime and extends or makes permanent various provisions from the Tax Cuts and Jobs Act of 2017, including bonus depreciation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expensing. The provisions of OBBBA for accelerated depreciation and research and development expenses reduce our cash income tax expense for 2026, and the modifications for the international tax provisions of OBBBA reduce our tax rate for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our effective income tax rate for the three and six months ended June 30, 2026 and 2025, respectively: </w:t>
      </w:r>
    </w:p>
    <w:tbl>
      <w:tblPr>
        <w:tblW w:w="5941" w:type="dxa"/>
        <w:jc w:val="left"/>
        <w:tblInd w:w="0" w:type="dxa"/>
        <w:tblLayout w:type="fixed"/>
        <w:tblCellMar>
          <w:top w:w="28" w:type="dxa"/>
          <w:left w:w="28" w:type="dxa"/>
          <w:bottom w:w="28" w:type="dxa"/>
          <w:right w:w="28" w:type="dxa"/>
        </w:tblCellMar>
      </w:tblPr>
      <w:tblGrid>
        <w:gridCol w:w="777"/>
        <w:gridCol w:w="681"/>
        <w:gridCol w:w="686"/>
        <w:gridCol w:w="210"/>
        <w:gridCol w:w="210"/>
        <w:gridCol w:w="210"/>
        <w:gridCol w:w="178"/>
        <w:gridCol w:w="178"/>
        <w:gridCol w:w="178"/>
        <w:gridCol w:w="215"/>
        <w:gridCol w:w="215"/>
        <w:gridCol w:w="215"/>
        <w:gridCol w:w="109"/>
        <w:gridCol w:w="109"/>
        <w:gridCol w:w="109"/>
        <w:gridCol w:w="209"/>
        <w:gridCol w:w="209"/>
        <w:gridCol w:w="211"/>
        <w:gridCol w:w="154"/>
        <w:gridCol w:w="154"/>
        <w:gridCol w:w="154"/>
        <w:gridCol w:w="167"/>
        <w:gridCol w:w="167"/>
        <w:gridCol w:w="23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increase in the effective tax rate was due to a one-time tax benefit in the prior period related to state valuation allowance release and impact of the non-taxable bargain purchase gain.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15. RESTRUCTURING AND OTHER COSTS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employee termination benefits as a part of the 2024 Synergy Plan and 2025 Strategic Integration Plan. The 2024 Synergy Plan was designed to optimize the organizational structure of Globus by reducing the size of our workforce. Impacted employees were notified during the first and third quarters of 2024 and the second quarter of 2025.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Strategic Integration Plan was implemented to streamline operations. Impacted employees were notified during the second quarter of 2025 and the first quarter of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2024 Synergy Plan</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Totals include stock-based compensation expense, classified in accordance with ASC Topic 420, </w:t>
      </w:r>
      <w:r>
        <w:rPr>
          <w:rFonts w:ascii="Times New Roman;serif" w:hAnsi="Times New Roman;serif"/>
          <w:b w:val="false"/>
          <w:i/>
          <w:color w:val="000000"/>
          <w:sz w:val="20"/>
        </w:rPr>
        <w:t xml:space="preserve">Exit or Disposal Cost Obligations. </w:t>
      </w:r>
      <w:r>
        <w:rPr>
          <w:rFonts w:ascii="Times New Roman;serif" w:hAnsi="Times New Roman;serif"/>
          <w:b w:val="false"/>
          <w:color w:val="000000"/>
          <w:sz w:val="20"/>
        </w:rPr>
        <w:t>The following table provides a summary of the recognized pre-tax costs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7799" w:type="dxa"/>
        <w:jc w:val="left"/>
        <w:tblInd w:w="0" w:type="dxa"/>
        <w:tblLayout w:type="fixed"/>
        <w:tblCellMar>
          <w:top w:w="28" w:type="dxa"/>
          <w:left w:w="28" w:type="dxa"/>
          <w:bottom w:w="28" w:type="dxa"/>
          <w:right w:w="28" w:type="dxa"/>
        </w:tblCellMar>
      </w:tblPr>
      <w:tblGrid>
        <w:gridCol w:w="1097"/>
        <w:gridCol w:w="964"/>
        <w:gridCol w:w="96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costs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provides a summary of activity related to the restructuring program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6328" w:type="dxa"/>
        <w:jc w:val="left"/>
        <w:tblInd w:w="0" w:type="dxa"/>
        <w:tblLayout w:type="fixed"/>
        <w:tblCellMar>
          <w:top w:w="28" w:type="dxa"/>
          <w:left w:w="28" w:type="dxa"/>
          <w:bottom w:w="28" w:type="dxa"/>
          <w:right w:w="28" w:type="dxa"/>
        </w:tblCellMar>
      </w:tblPr>
      <w:tblGrid>
        <w:gridCol w:w="614"/>
        <w:gridCol w:w="540"/>
        <w:gridCol w:w="541"/>
        <w:gridCol w:w="211"/>
        <w:gridCol w:w="616"/>
        <w:gridCol w:w="109"/>
        <w:gridCol w:w="109"/>
        <w:gridCol w:w="109"/>
        <w:gridCol w:w="109"/>
        <w:gridCol w:w="211"/>
        <w:gridCol w:w="616"/>
        <w:gridCol w:w="109"/>
        <w:gridCol w:w="109"/>
        <w:gridCol w:w="109"/>
        <w:gridCol w:w="109"/>
        <w:gridCol w:w="215"/>
        <w:gridCol w:w="475"/>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Settled non-cash</w:t>
            </w:r>
            <w:r>
              <w:rPr>
                <w:color w:val="000000"/>
              </w:rPr>
              <w:t xml:space="preserve"> </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(a)Represents share-based compensation settled without cash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2025 Strategic Integration Plan</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There was no stock-based compensation expense included below. The following table provides a summary of the recognized pre-tax costs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6449" w:type="dxa"/>
        <w:jc w:val="left"/>
        <w:tblInd w:w="0" w:type="dxa"/>
        <w:tblLayout w:type="fixed"/>
        <w:tblCellMar>
          <w:top w:w="28" w:type="dxa"/>
          <w:left w:w="28" w:type="dxa"/>
          <w:bottom w:w="28" w:type="dxa"/>
          <w:right w:w="28" w:type="dxa"/>
        </w:tblCellMar>
      </w:tblPr>
      <w:tblGrid>
        <w:gridCol w:w="623"/>
        <w:gridCol w:w="548"/>
        <w:gridCol w:w="553"/>
        <w:gridCol w:w="211"/>
        <w:gridCol w:w="36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provides a summary of activity related to the restructuring program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7124" w:type="dxa"/>
        <w:jc w:val="left"/>
        <w:tblInd w:w="0" w:type="dxa"/>
        <w:tblLayout w:type="fixed"/>
        <w:tblCellMar>
          <w:top w:w="28" w:type="dxa"/>
          <w:left w:w="28" w:type="dxa"/>
          <w:bottom w:w="28" w:type="dxa"/>
          <w:right w:w="28" w:type="dxa"/>
        </w:tblCellMar>
      </w:tblPr>
      <w:tblGrid>
        <w:gridCol w:w="777"/>
        <w:gridCol w:w="683"/>
        <w:gridCol w:w="684"/>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shd w:fill="FFFFFF" w:val="clear"/>
              </w:rPr>
            </w:pPr>
            <w:r>
              <w:rPr>
                <w:rFonts w:ascii="Times New Roman;serif" w:hAnsi="Times New Roman;serif"/>
                <w:b/>
                <w:i/>
                <w:color w:val="000000"/>
                <w:sz w:val="16"/>
                <w:shd w:fill="FFFFFF" w:val="clear"/>
              </w:rPr>
              <w:t>(In thousands)</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impact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16. LEASES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equipment, vehicles, office and storage facilities via various operating and financing lease agreements. Our leases have initial lease terms ranging from one year to seventeen years. Certain lease agreements require the Company to pay taxes, insurance, and maintenance, and provide for options to extend the term beyond the initial lease termination date. We use judgment to determine whether it is reasonably possible that we will extend the lease beyond the initial term and the length of the possible extension. Leases that have terms of less than 12 months are treated as short-term and we do not recognize right-of-use assets or lease liabilities for such leases. We generally estimate discount rates using our incremental borrowing rate, and based on other information available, at commencement date of a lease when determining the present value of future payments, as most of our leases do not provide an implicit rate.</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includes financing lease right-of-use assets in other assets, short-term financing lease liabilities in accrued expenses, and long-term financing lease liabilities in other liabilities on the condensed consolidated balance sheet. Operating lease expense is recognized, on a straight-line basis over the term of the lease, as a component of operating income on the condensed consolidated statement of operations and comprehensive income. Finance leases amortize the right-of-use assets and amortize the interest on the lease liability over the term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Amounts reported in the condensed consolidated balance sheet were as follows as of June 30, 2026 and December 31, 2025, respectively:</w:t>
      </w:r>
    </w:p>
    <w:tbl>
      <w:tblPr>
        <w:tblW w:w="5468" w:type="dxa"/>
        <w:jc w:val="left"/>
        <w:tblInd w:w="0" w:type="dxa"/>
        <w:tblLayout w:type="fixed"/>
        <w:tblCellMar>
          <w:top w:w="28" w:type="dxa"/>
          <w:left w:w="28" w:type="dxa"/>
          <w:bottom w:w="28" w:type="dxa"/>
          <w:right w:w="28" w:type="dxa"/>
        </w:tblCellMar>
      </w:tblPr>
      <w:tblGrid>
        <w:gridCol w:w="1016"/>
        <w:gridCol w:w="893"/>
        <w:gridCol w:w="895"/>
        <w:gridCol w:w="211"/>
        <w:gridCol w:w="826"/>
        <w:gridCol w:w="109"/>
        <w:gridCol w:w="109"/>
        <w:gridCol w:w="109"/>
        <w:gridCol w:w="109"/>
        <w:gridCol w:w="211"/>
        <w:gridCol w:w="82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right-of-use asset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table below summarizes the Company’s lease costs arising from the operating and financing lease obligations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7830" w:type="dxa"/>
        <w:jc w:val="left"/>
        <w:tblInd w:w="0" w:type="dxa"/>
        <w:tblLayout w:type="fixed"/>
        <w:tblCellMar>
          <w:top w:w="28" w:type="dxa"/>
          <w:left w:w="28" w:type="dxa"/>
          <w:bottom w:w="28" w:type="dxa"/>
          <w:right w:w="28" w:type="dxa"/>
        </w:tblCellMar>
      </w:tblPr>
      <w:tblGrid>
        <w:gridCol w:w="1072"/>
        <w:gridCol w:w="941"/>
        <w:gridCol w:w="94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Lease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June 30, 2026, are as follows:</w:t>
      </w:r>
    </w:p>
    <w:tbl>
      <w:tblPr>
        <w:tblW w:w="5724" w:type="dxa"/>
        <w:jc w:val="left"/>
        <w:tblInd w:w="0" w:type="dxa"/>
        <w:tblLayout w:type="fixed"/>
        <w:tblCellMar>
          <w:top w:w="28" w:type="dxa"/>
          <w:left w:w="28" w:type="dxa"/>
          <w:bottom w:w="28" w:type="dxa"/>
          <w:right w:w="28" w:type="dxa"/>
        </w:tblCellMar>
      </w:tblPr>
      <w:tblGrid>
        <w:gridCol w:w="1240"/>
        <w:gridCol w:w="1088"/>
        <w:gridCol w:w="1092"/>
        <w:gridCol w:w="211"/>
        <w:gridCol w:w="466"/>
        <w:gridCol w:w="109"/>
        <w:gridCol w:w="109"/>
        <w:gridCol w:w="109"/>
        <w:gridCol w:w="109"/>
        <w:gridCol w:w="211"/>
        <w:gridCol w:w="82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b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obligations under leases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table below summarizes the Company’s supplemental cash flow information and assumptions used for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8694" w:type="dxa"/>
        <w:jc w:val="left"/>
        <w:tblInd w:w="0" w:type="dxa"/>
        <w:tblLayout w:type="fixed"/>
        <w:tblCellMar>
          <w:top w:w="28" w:type="dxa"/>
          <w:left w:w="28" w:type="dxa"/>
          <w:bottom w:w="28" w:type="dxa"/>
          <w:right w:w="28" w:type="dxa"/>
        </w:tblCellMar>
      </w:tblPr>
      <w:tblGrid>
        <w:gridCol w:w="2257"/>
        <w:gridCol w:w="1985"/>
        <w:gridCol w:w="1998"/>
        <w:gridCol w:w="211"/>
        <w:gridCol w:w="721"/>
        <w:gridCol w:w="109"/>
        <w:gridCol w:w="109"/>
        <w:gridCol w:w="109"/>
        <w:gridCol w:w="109"/>
        <w:gridCol w:w="211"/>
        <w:gridCol w:w="721"/>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weighted average lease term and discount rate)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supplemental cash flow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amounts included in the measurement of lease liabilities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involved in a number of proceedings, legal actions, and claims arising in the ordinary course of business. Such matters are subject to many uncertainties, and the outcomes of these matters are not within our control and may not be known for prolonged periods of time. In some actions, the claimants seek damages, as well as other relief, including injunctions prohibiting us from engaging in certain activities, which, if granted, could require significant expenditures and/or result in lost revenues. We record a liability in the condensed consolidated financial statements for these actions when a loss is considered probable and the amount can be reasonably estimated. If the reasonable estimate of a probable loss is a range, and no amount 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 While it is not possible to predict the outcome for most of the matters discussed, we believe it is possible that costs associated with them could have a material adverse impact on our consolidated earnings, financial position or cash flows.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Moskowitz Family LLC Litigation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November 20, 2019, Moskowitz Family LLC (“Moskowitz”) filed suit against us in the U.S. District Court for the Western District of Texas for patent infringement. Moskowitz, a non-practicing entity, alleges that Globus willfully infringes one or more claims of six patents by making, using, offering for sale or selling the COALITION MIS</w:t>
      </w:r>
      <w:r>
        <w:rPr>
          <w:rFonts w:ascii="Times New Roman;serif" w:hAnsi="Times New Roman;serif"/>
          <w:b w:val="false"/>
          <w:color w:val="000000"/>
          <w:sz w:val="13"/>
        </w:rPr>
        <w:t>®</w:t>
      </w:r>
      <w:r>
        <w:rPr>
          <w:rFonts w:ascii="Times New Roman;serif" w:hAnsi="Times New Roman;serif"/>
          <w:b w:val="false"/>
          <w:color w:val="000000"/>
          <w:sz w:val="20"/>
        </w:rPr>
        <w:t>, CORBEL</w:t>
      </w:r>
      <w:r>
        <w:rPr>
          <w:rFonts w:ascii="Times New Roman;serif" w:hAnsi="Times New Roman;serif"/>
          <w:b w:val="false"/>
          <w:color w:val="000000"/>
          <w:sz w:val="13"/>
        </w:rPr>
        <w:t>®</w:t>
      </w:r>
      <w:r>
        <w:rPr>
          <w:rFonts w:ascii="Times New Roman;serif" w:hAnsi="Times New Roman;serif"/>
          <w:b w:val="false"/>
          <w:color w:val="000000"/>
          <w:sz w:val="20"/>
        </w:rPr>
        <w:t>, MAGNIFY</w:t>
      </w:r>
      <w:r>
        <w:rPr>
          <w:rFonts w:ascii="Times New Roman;serif" w:hAnsi="Times New Roman;serif"/>
          <w:b w:val="false"/>
          <w:color w:val="000000"/>
          <w:sz w:val="13"/>
        </w:rPr>
        <w:t>®</w:t>
      </w:r>
      <w:r>
        <w:rPr>
          <w:rFonts w:ascii="Times New Roman;serif" w:hAnsi="Times New Roman;serif"/>
          <w:b w:val="false"/>
          <w:color w:val="000000"/>
          <w:sz w:val="20"/>
        </w:rPr>
        <w:t>-S, HEDRON IA</w:t>
      </w:r>
      <w:r>
        <w:rPr>
          <w:rFonts w:ascii="Times New Roman;serif" w:hAnsi="Times New Roman;serif"/>
          <w:b w:val="false"/>
          <w:color w:val="000000"/>
          <w:sz w:val="13"/>
        </w:rPr>
        <w:t>TM</w:t>
      </w:r>
      <w:r>
        <w:rPr>
          <w:rFonts w:ascii="Times New Roman;serif" w:hAnsi="Times New Roman;serif"/>
          <w:b w:val="false"/>
          <w:color w:val="000000"/>
          <w:sz w:val="20"/>
        </w:rPr>
        <w:t>, INDEPENDENCE MIS</w:t>
      </w:r>
      <w:r>
        <w:rPr>
          <w:rFonts w:ascii="Times New Roman;serif" w:hAnsi="Times New Roman;serif"/>
          <w:b w:val="false"/>
          <w:color w:val="000000"/>
          <w:sz w:val="13"/>
        </w:rPr>
        <w:t>®</w:t>
      </w:r>
      <w:r>
        <w:rPr>
          <w:rFonts w:ascii="Times New Roman;serif" w:hAnsi="Times New Roman;serif"/>
          <w:b w:val="false"/>
          <w:color w:val="000000"/>
          <w:sz w:val="20"/>
        </w:rPr>
        <w:t>, INDEPENDENCE MIS AGX</w:t>
      </w:r>
      <w:r>
        <w:rPr>
          <w:rFonts w:ascii="Times New Roman;serif" w:hAnsi="Times New Roman;serif"/>
          <w:b w:val="false"/>
          <w:color w:val="000000"/>
          <w:sz w:val="13"/>
        </w:rPr>
        <w:t>®</w:t>
      </w:r>
      <w:r>
        <w:rPr>
          <w:rFonts w:ascii="Times New Roman;serif" w:hAnsi="Times New Roman;serif"/>
          <w:b w:val="false"/>
          <w:color w:val="000000"/>
          <w:sz w:val="20"/>
        </w:rPr>
        <w:t>, FORTIFY</w:t>
      </w:r>
      <w:r>
        <w:rPr>
          <w:rFonts w:ascii="Times New Roman;serif" w:hAnsi="Times New Roman;serif"/>
          <w:b w:val="false"/>
          <w:color w:val="000000"/>
          <w:sz w:val="13"/>
        </w:rPr>
        <w:t xml:space="preserve">® </w:t>
      </w:r>
      <w:r>
        <w:rPr>
          <w:rFonts w:ascii="Times New Roman;serif" w:hAnsi="Times New Roman;serif"/>
          <w:b w:val="false"/>
          <w:color w:val="000000"/>
          <w:sz w:val="20"/>
        </w:rPr>
        <w:t>and XPAND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families, SABLE</w:t>
      </w:r>
      <w:r>
        <w:rPr>
          <w:rFonts w:ascii="Times New Roman;serif" w:hAnsi="Times New Roman;serif"/>
          <w:b w:val="false"/>
          <w:color w:val="000000"/>
          <w:sz w:val="13"/>
        </w:rPr>
        <w:t>®</w:t>
      </w:r>
      <w:r>
        <w:rPr>
          <w:rFonts w:ascii="Times New Roman;serif" w:hAnsi="Times New Roman;serif"/>
          <w:b w:val="false"/>
          <w:color w:val="000000"/>
          <w:sz w:val="20"/>
        </w:rPr>
        <w:t>, RISE</w:t>
      </w:r>
      <w:r>
        <w:rPr>
          <w:rFonts w:ascii="Times New Roman;serif" w:hAnsi="Times New Roman;serif"/>
          <w:b w:val="false"/>
          <w:color w:val="000000"/>
          <w:sz w:val="13"/>
        </w:rPr>
        <w:t>®</w:t>
      </w:r>
      <w:r>
        <w:rPr>
          <w:rFonts w:ascii="Times New Roman;serif" w:hAnsi="Times New Roman;serif"/>
          <w:b w:val="false"/>
          <w:color w:val="000000"/>
          <w:sz w:val="20"/>
        </w:rPr>
        <w:t>, RISE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INTRALIF, RISE</w:t>
      </w:r>
      <w:r>
        <w:rPr>
          <w:rFonts w:ascii="Times New Roman;serif" w:hAnsi="Times New Roman;serif"/>
          <w:b w:val="false"/>
          <w:color w:val="000000"/>
          <w:sz w:val="13"/>
        </w:rPr>
        <w:t>®</w:t>
      </w:r>
      <w:r>
        <w:rPr>
          <w:rFonts w:ascii="Times New Roman;serif" w:hAnsi="Times New Roman;serif"/>
          <w:b w:val="false"/>
          <w:color w:val="000000"/>
          <w:sz w:val="20"/>
        </w:rPr>
        <w:t>-L, ELSA</w:t>
      </w:r>
      <w:r>
        <w:rPr>
          <w:rFonts w:ascii="Times New Roman;serif" w:hAnsi="Times New Roman;serif"/>
          <w:b w:val="false"/>
          <w:color w:val="000000"/>
          <w:sz w:val="13"/>
        </w:rPr>
        <w:t>®</w:t>
      </w:r>
      <w:r>
        <w:rPr>
          <w:rFonts w:ascii="Times New Roman;serif" w:hAnsi="Times New Roman;serif"/>
          <w:b w:val="false"/>
          <w:color w:val="000000"/>
          <w:sz w:val="20"/>
        </w:rPr>
        <w:t>, ELSA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ATP, ALTERA</w:t>
      </w:r>
      <w:r>
        <w:rPr>
          <w:rFonts w:ascii="Times New Roman;serif" w:hAnsi="Times New Roman;serif"/>
          <w:b w:val="false"/>
          <w:color w:val="000000"/>
          <w:sz w:val="13"/>
        </w:rPr>
        <w:t>®</w:t>
      </w:r>
      <w:r>
        <w:rPr>
          <w:rFonts w:ascii="Times New Roman;serif" w:hAnsi="Times New Roman;serif"/>
          <w:b w:val="false"/>
          <w:color w:val="000000"/>
          <w:sz w:val="20"/>
        </w:rPr>
        <w:t>, ARIEL</w:t>
      </w:r>
      <w:r>
        <w:rPr>
          <w:rFonts w:ascii="Times New Roman;serif" w:hAnsi="Times New Roman;serif"/>
          <w:b w:val="false"/>
          <w:color w:val="000000"/>
          <w:sz w:val="13"/>
        </w:rPr>
        <w:t>®</w:t>
      </w:r>
      <w:r>
        <w:rPr>
          <w:rFonts w:ascii="Times New Roman;serif" w:hAnsi="Times New Roman;serif"/>
          <w:b w:val="false"/>
          <w:color w:val="000000"/>
          <w:sz w:val="20"/>
        </w:rPr>
        <w:t>, CALIBER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CALIBER</w:t>
      </w:r>
      <w:r>
        <w:rPr>
          <w:rFonts w:ascii="Times New Roman;serif" w:hAnsi="Times New Roman;serif"/>
          <w:b w:val="false"/>
          <w:color w:val="000000"/>
          <w:sz w:val="13"/>
        </w:rPr>
        <w:t>®</w:t>
      </w:r>
      <w:r>
        <w:rPr>
          <w:rFonts w:ascii="Times New Roman;serif" w:hAnsi="Times New Roman;serif"/>
          <w:b w:val="false"/>
          <w:color w:val="000000"/>
          <w:sz w:val="20"/>
        </w:rPr>
        <w:t>-L products. Moskowitz seeks monetary damages and injunctive relief. On July 2, 2020, this suit was transferred from the U.S. District Court for the Western District of Texas to the U.S. District Court for the Eastern District of Pennsylvania. On December 14, 2023, a jury returned a defense verdict in favor of Globus. On September 30, 2024, Moskowitz filed an appeal to the verdict. The outcome of this litigation cannot be determined, nor can we estimate a range of potential loss; therefore, we have not recorded a liability, outside of counsel fees, related to this litigation as of June 30, 2026.</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Pimenta Litigation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 2018, Dr. Luiz Pimenta filed suit against NuVasive in the Superior Court of California, County of San Diego (the “Court”) for breach of contract alleging NuVasive improperly terminated the Clinical Advisor Agreement (the “Agreement”) between the parties (the “Pimenta Litigation”). Dr. Pimenta sought monetary damages totaling $97 million, later reduced to $82 million, in the form of unpaid royalties relating to a number of NuVasive products. On September 13, 2022, NuVasive filed cross-claims against Dr. Pimenta for breach of contract alleging that Dr. Pimenta improperly provided inventions to Alphatec Holdings, Inc., a competitor of NuVasive, without granting NuVasive the right of first negotiation under the Agreement. NuVasive is seeking monetary damages in the form of lost profits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related to the undisclosed inventions. On November 4, 2025, a jury returned a verdict that included $28.7 million in damages against NuVasive on which statutory interest and costs will apply. The jury did not award damages on the cross claims. On January 28, 2026, the Court ruled on the post-trial motions and interest costs associated with the damages. As of December 31, 2025, we recorded a liability of $43.1 million, which includes our accrual for interest and costs based on the Court’s order, in our accrued expenses. This provision for litigation charge was within our selling, general, and administrative expense financial statement line for the year ended December 31, 2025. No additional charges or accruals were recorded in the three and six months ended June 30, 2026. The Company intends to vigorously defend against these claims and has filed an appeal.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4WEB LLC Litigation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April 25, 2023, 4WEB LLC (“4WEB”) filed suit against NuVasive in the U.S. District Court for the Eastern District of Texas alleging patent infringement. 4WEB alleges that NuVasive willfully infringes one or more claims of eleven patents by making, using, offering for sale, or selling the Modulus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products. 4WEB seeks monetary damages and injunctive relief. On May 2, 2024, this suit was transferred from the U.S. District Court for the Eastern District of Texas to the U.S. District Court for the Southern District of California. The litigation is currently ongoing, and the outcome of this litigation cannot be determined, nor can we estimate a range of potential loss; therefore, we have not recorded a liability, outside of counsel fees, related to this litigation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18. SEGMENT AND GEOGRAPHIC INFORMATION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for which separate financial information is available that are evaluated regularly by the Chief Operating Decision Maker (the “CODM”) in deciding how to allocate resources and in assessing performance. Generally, financial information is required to be reported on the basis that it is used internally for evaluating segment performance and deciding how to allocate resources to segments. Keith W. Pfeil, Chief Executive Officer, is identified as the CODM who determines resource allocation, investing activities, and performance assessment as of June 30, 2026. The CODM uses revenue, gross profit and operating income to assess financial performance of the segments and make key operating decisions. Our CODM does not evaluate operating segments using asset or liability information.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identified two operating segments, Musculoskeletal Solutions and Enabling Technologies, based on the overall management structure and business strategy. The Company aggregates these operating segments into one reportable segment, based on conclusions reached after considering relevant factors such as economic similarity, customer base, regulatory environment, production processes, nature of services and products provided, and our comprehensive approach to product development and offerings targeting patient needs through procedural-based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represents total segment revenue, significant segments expenses and other expenses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10205" w:type="dxa"/>
        <w:jc w:val="left"/>
        <w:tblInd w:w="0" w:type="dxa"/>
        <w:tblLayout w:type="fixed"/>
        <w:tblCellMar>
          <w:top w:w="28" w:type="dxa"/>
          <w:left w:w="28" w:type="dxa"/>
          <w:bottom w:w="28" w:type="dxa"/>
          <w:right w:w="28" w:type="dxa"/>
        </w:tblCellMar>
      </w:tblPr>
      <w:tblGrid>
        <w:gridCol w:w="1633"/>
        <w:gridCol w:w="1333"/>
        <w:gridCol w:w="132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and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(379,538)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Amortization of inventory fair value step-up </w:t>
            </w:r>
            <w:r>
              <w:rPr>
                <w:rFonts w:ascii="Times New Roman;serif" w:hAnsi="Times New Roman;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related to 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employee-related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 other</w:t>
            </w:r>
            <w:r>
              <w:rPr>
                <w:color w:val="000000"/>
              </w:rPr>
              <w:t xml:space="preserve"> </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employee-related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Selling, general and administrative other </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transactional gain/(loss)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291,841 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(a)Amounts primarily related to inventory step up associated with the Nevro Merger.</w:t>
      </w:r>
    </w:p>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(b)Amounts include IPR&amp;D and other non-employee related costs.</w:t>
      </w:r>
    </w:p>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(c)Amounts include non-employee related costs including taxes and fees.</w:t>
      </w:r>
    </w:p>
    <w:p>
      <w:pPr>
        <w:pStyle w:val="TextBody"/>
        <w:bidi w:val="0"/>
        <w:spacing w:lineRule="auto" w:line="288" w:before="0" w:after="18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(d)Amounts primarily include restructuring expense and credit losses.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represents total net sales by geographic area, based on the location of the customer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7110" w:type="dxa"/>
        <w:jc w:val="left"/>
        <w:tblInd w:w="0" w:type="dxa"/>
        <w:tblLayout w:type="fixed"/>
        <w:tblCellMar>
          <w:top w:w="28" w:type="dxa"/>
          <w:left w:w="28" w:type="dxa"/>
          <w:bottom w:w="28" w:type="dxa"/>
          <w:right w:w="28" w:type="dxa"/>
        </w:tblCellMar>
      </w:tblPr>
      <w:tblGrid>
        <w:gridCol w:w="435"/>
        <w:gridCol w:w="382"/>
        <w:gridCol w:w="38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Sales</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1,084,641 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discussion and analysis of our financial condition and results of operations should be read in conjunction with our unaudited condensed consolidated financial statements and related notes that appear in Item 1 of this Quarterly Report on Form 10-Q (this “Quarterly Report”) and with our audited consolidated financial statements and related notes for the year ended December 31, 2025, which are included in our Annual Report on Form 10-K for the year ended December 31, 2025 filed with the United States (“U.S”) Securities and Exchange Commission (the “SEC”) on February 24, 2026. This “Management’s Discussion and Analysis of Financial Condition and Results of Operations” generally discusses the three and six months ended June 30, 2026 and 2025 and provides comparisons between the periods. A discussion of our Results of Operations for the three and six months ended June 30, 2025, can be found in “</w:t>
      </w:r>
      <w:r>
        <w:rPr>
          <w:rFonts w:ascii="Times New Roman;serif" w:hAnsi="Times New Roman;serif"/>
          <w:b/>
          <w:color w:val="000000"/>
          <w:sz w:val="20"/>
        </w:rPr>
        <w:t>Part I, Item 2. Management’s Discussion and Analysis of Financial Condition and Results of Operations: Results of Operations; Three Months Ended June 30, 2025 Compared to the Three Months Ended June 30, 2024</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 xml:space="preserve">Part I, Item 2. Management’s Discussion and Analysis of Financial Condition and Results of Operations: Results of Operations; Six Months Ended June 30, 2025 Compared to the Six Months Ended June 30, 2024 </w:t>
      </w:r>
      <w:r>
        <w:rPr>
          <w:color w:val="000000"/>
        </w:rPr>
        <w:t xml:space="preserve">” </w:t>
      </w:r>
      <w:r>
        <w:rPr>
          <w:rFonts w:ascii="Times New Roman;serif" w:hAnsi="Times New Roman;serif"/>
          <w:b w:val="false"/>
          <w:color w:val="000000"/>
          <w:sz w:val="20"/>
        </w:rPr>
        <w:t xml:space="preserve">in our Quarterly Report on </w:t>
      </w:r>
      <w:hyperlink r:id="rId4">
        <w:r>
          <w:rPr>
            <w:rStyle w:val="InternetLink"/>
            <w:rFonts w:ascii="Times New Roman;serif" w:hAnsi="Times New Roman;serif"/>
            <w:b w:val="false"/>
            <w:color w:val="0000FF"/>
            <w:sz w:val="20"/>
            <w:u w:val="single"/>
          </w:rPr>
          <w:t>Form 10-Q for the quarter ended June 30, 2025 filed with the SEC on August 7, 2025</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Globus Medical, Inc. (together, as applicable, with its consolidated subsidiaries, the “Company,” “Globus,” “we,” “us” or “our”), headquartered in Audubon, Pennsylvania, is a medical device company that develops and commercializes healthcare solutions whose mission is to improve the quality of life of patients with musculoskeletal disorders. Founded in 2003, Globus is committed to medical device innovation and delivering exceptional service to hospitals, ambulatory surgery centers and physicians to advance patient care and improve efficiency. Since inception, Globus has listened to the voice of the surgeon to develop practical solutions and products to help surgeons effectively treat patients and improve lives. </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We are an engineering-driven company with a history of rapidly developing and commercializing advanced products and procedures to assist surgeons in effectively treating their patients and to address new treatment challenges. With numerous products launched since the founding of the Company, we offer a comprehensive portfolio of innovative and differentiated technologies that address a variety of musculoskeletal pathologies, anatomies and surgical approaches. We separate our products and services into two major categories: Musculoskeletal Solutions and Enabling Technologies</w:t>
      </w:r>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Nevro Merger</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February 6, 2025, the Company entered into an Agreement and Plan of Merger (the “Nevro Merger Agreement”) with Nevro Corp. (“Nevro”) and Palmer Merger Sub, Inc., a wholly owned subsidiary of the Company (“Palmer Merger Sub”). On April 3, 2025, pursuant to the terms of the Nevro Merger Agreement, Palmer Merger Sub merged with and into Nevro (the “Nevro Merger”), with Nevro surviving as a wholly owned subsidiary of the Company. Upon the consummation of the Nevro Merger, each issued and outstanding share of common stock of Nevro, $0.001 par value per share, was cancelled and converted into the right to receive cash in an amount equal to $5.85 per share of common stock of Nevro, without interest and subject to any applicable withholding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Product &amp; Service Categories</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group our revenue into two categories, Musculoskeletal Solutions and Enabling Technologies, they are not limited to a particular technology, platform or surgical approach. Instead, our goal is to offer a comprehensive product suite that can be used to safely and effectively treat patients based on their specific anatomy and condition, and is customized to the surgeon’s training and surgical preference.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Musculoskeletal Solutions</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Musculoskeletal Solutions consist primarily of implantable devices, biologics, accessories, unique surgical instruments, spinal cord stimulation treatment therapy, and neuromonitoring services, used in an expansive range of spinal, orthopedic and neurosurgical procedures. Musculoskeletal disorders are a leading driver of healthcare costs worldwide. Disorders range in severity from mild pain and loss of feeling to extreme pain and paralysis. These disorders are primarily caused by degenerative and congenital conditions, deformity, tumors and traumatic injuries. Treatment alternatives for musculoskeletal disorders range from non-operative conservative therapies to surgical interventions depending on the pathology. Conservative therapies include bed rest, medication, casting, bracing, and physical therapy. When conservative therapies are not indicated, or fail to provide adequate quality of life improvements, surgical interventions may be used. Surgical treatments for musculoskeletal disorders can be instrumented, which include the use of implants, or non-instrumented, which forego the use of hardware but may include biologics. Our spinal cord stimulation treatment therapy uses neuromodulation technology delivered by an implantable device that delivers electrical impulses to treat chronic pain. Our neuromonitoring services use proprietary software-driven nerve detection and avoidance technology and include intraoperative neuromonitoring (“IONM”) services to aid spine surgery.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Enabling Technologies</w:t>
      </w:r>
    </w:p>
    <w:p>
      <w:pPr>
        <w:pStyle w:val="TextBody"/>
        <w:bidi w:val="0"/>
        <w:spacing w:lineRule="auto" w:line="288" w:before="0" w:after="200"/>
        <w:ind w:left="0" w:right="0" w:firstLine="720"/>
        <w:jc w:val="both"/>
        <w:rPr/>
      </w:pPr>
      <w:r>
        <w:rPr>
          <w:rFonts w:ascii="Times New Roman;serif" w:hAnsi="Times New Roman;serif"/>
          <w:b w:val="false"/>
          <w:color w:val="000000"/>
          <w:sz w:val="20"/>
        </w:rPr>
        <w:t>Our Enabling Technologies are comprised of imaging, navigation and robotics (“INR”) solutions for assisted surgery which are advanced computer-assisted intelligent systems designed to enhance a surgeon’s capabilities and ultimately improve patient care and reduce radiation exposure for all involved by streamlining surgical procedures to be safer, less invasive, and more accurate. The market for our Enabling Technologies in spine, cranial and orthopedic surgery is still in its infancy stage and consists primarily of INR</w:t>
      </w:r>
      <w:r>
        <w:rPr>
          <w:color w:val="000000"/>
          <w:shd w:fill="FFFFFF" w:val="clear"/>
        </w:rPr>
        <w:t xml:space="preserve"> </w:t>
      </w:r>
      <w:r>
        <w:rPr>
          <w:rFonts w:ascii="Times New Roman;serif" w:hAnsi="Times New Roman;serif"/>
          <w:b w:val="false"/>
          <w:color w:val="000000"/>
          <w:sz w:val="20"/>
          <w:shd w:fill="FFFFFF" w:val="clear"/>
        </w:rPr>
        <w:t>systems. In spine, a majority of these technologies are limited to surgical planning and assistance in implant placement for increased accuracy and time savings with less intraoperative radiation exposure to the patient and surgical staff. As our Enabling Technologies become more</w:t>
      </w:r>
      <w:r>
        <w:rPr>
          <w:color w:val="000000"/>
        </w:rPr>
        <w:t xml:space="preserve"> </w:t>
      </w:r>
      <w:r>
        <w:rPr>
          <w:rFonts w:ascii="Times New Roman;serif" w:hAnsi="Times New Roman;serif"/>
          <w:b w:val="false"/>
          <w:color w:val="000000"/>
          <w:sz w:val="20"/>
        </w:rPr>
        <w:t>fully integrated with our Musculoskeletal Solutions, a continued rise in adoption is expected. Furthermore, we believe as new technologies such as augmented reality and artificial intelligence are introduced, Enabling Technologies have the potential to transform the way surgery is performed and most importantly, continue to impr</w:t>
      </w:r>
      <w:r>
        <w:rPr>
          <w:rFonts w:ascii="Times New Roman;serif" w:hAnsi="Times New Roman;serif"/>
          <w:b w:val="false"/>
          <w:color w:val="000000"/>
          <w:sz w:val="20"/>
          <w:shd w:fill="FFFFFF" w:val="clear"/>
        </w:rPr>
        <w:t>ove patient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Geographic Information </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the primary market for our products and services has been within the U.S., where we sell our products and services through a combination of direct sales representatives employed by us and distributor sales representatives employed by exclusive independent distributors, who distribute our products for a commission that is generally based on a percentage of sales. We believe there is significant opportunity to strengthen our position in the U.S. market by increasing the size of our U.S. sales force, and we intend to add additional direct and distributor sales representatives in the future.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international net sales accounted for approximately 21.0% of our total net sales. We have sold our products and services in approximately 61 countries other than the U.S. through a combination of sales representatives employed by us and exclusive international distributors. We believe there are significant opportunities for us to increase our presence in both existing and new international markets through the continued expansion of our direct and distributor sales forces and through the commercialization of additional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Seasonality</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Our business is generally not seasonal in nature. However, sales of our</w:t>
      </w:r>
      <w:r>
        <w:rPr>
          <w:color w:val="000000"/>
        </w:rPr>
        <w:t xml:space="preserve"> </w:t>
      </w:r>
      <w:r>
        <w:rPr>
          <w:rFonts w:ascii="Times New Roman;serif" w:hAnsi="Times New Roman;serif"/>
          <w:b w:val="false"/>
          <w:color w:val="000000"/>
          <w:sz w:val="20"/>
        </w:rPr>
        <w:t>Musculoskeletal Solut</w:t>
      </w:r>
      <w:r>
        <w:rPr>
          <w:rFonts w:ascii="Times New Roman;serif" w:hAnsi="Times New Roman;serif"/>
          <w:b w:val="false"/>
          <w:color w:val="000000"/>
          <w:sz w:val="20"/>
          <w:shd w:fill="FFFFFF" w:val="clear"/>
        </w:rPr>
        <w:t>ions products and neuromonitoring services may be influenced by summer vacation and winter holiday periods during which we have experienced fewer surgeries taking place, as well as more surgeries taking place later in the year when patients have met the deductibles under insurance plans. Sales of our Enabling Technologies products may be influenced by longer capital purchase cycles and the timing of budget approvals for major capital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The preparation of the condensed consolidated financial statements requires us to make assumptions, estimates and judgments that affect the reported amounts of assets and liabilities, the disclosures of contingent assets and liabilities as of the date of the condensed consolidated financial statements, and the reported amounts of sales and expenses during the reporting periods. There have been no material changes to the critical accounting policies and estimates as previously disclosed in </w:t>
      </w:r>
      <w:r>
        <w:rPr>
          <w:color w:val="000000"/>
        </w:rPr>
        <w:t>“</w:t>
      </w:r>
      <w:r>
        <w:rPr>
          <w:rFonts w:ascii="Times New Roman;serif" w:hAnsi="Times New Roman;serif"/>
          <w:b/>
          <w:color w:val="000000"/>
          <w:sz w:val="20"/>
          <w:shd w:fill="FFFFFF" w:val="clear"/>
        </w:rPr>
        <w:t>Part II, Item 7. Management</w:t>
      </w:r>
      <w:r>
        <w:rPr>
          <w:color w:val="000000"/>
        </w:rPr>
        <w:t>’</w:t>
      </w:r>
      <w:r>
        <w:rPr>
          <w:rFonts w:ascii="Times New Roman;serif" w:hAnsi="Times New Roman;serif"/>
          <w:b/>
          <w:color w:val="000000"/>
          <w:sz w:val="20"/>
        </w:rPr>
        <w:t>s Discussion and Analysis of Financial Condition and Results of Operation”</w:t>
      </w:r>
      <w:r>
        <w:rPr>
          <w:color w:val="000000"/>
          <w:shd w:fill="FFFFFF" w:val="clear"/>
        </w:rPr>
        <w:t xml:space="preserve"> </w:t>
      </w:r>
      <w:r>
        <w:rPr>
          <w:rFonts w:ascii="Times New Roman;serif" w:hAnsi="Times New Roman;serif"/>
          <w:b w:val="false"/>
          <w:color w:val="000000"/>
          <w:sz w:val="20"/>
          <w:shd w:fill="FFFFFF" w:val="clear"/>
        </w:rPr>
        <w:t xml:space="preserve">of our </w:t>
      </w:r>
      <w:hyperlink r:id="rId5">
        <w:r>
          <w:rPr>
            <w:rStyle w:val="InternetLink"/>
            <w:rFonts w:ascii="Times New Roman;serif" w:hAnsi="Times New Roman;serif"/>
            <w:b w:val="false"/>
            <w:color w:val="0000FF"/>
            <w:sz w:val="20"/>
            <w:u w:val="single"/>
            <w:shd w:fill="FFFFFF" w:val="clear"/>
          </w:rPr>
          <w:t>Annual Report on Form 10-K for the year ended December 31, 2025, filed with the SEC on February 24, 2026</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business globally within two operating segments, which is consistent with how our management reviews our business, makes investment and resource allocation decisions and assesses operating performance. We have concluded that these operating segments are aggregated into one reportable segment, based on the aggregation criteria.</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Three Months Ended June 30, 2026 Compared to the Three Months Ended June 30, 2025</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our net sales by geography expressed as dollar amounts and the changes in net sales between the specified periods expressed in dollar amounts and as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tbl>
      <w:tblPr>
        <w:tblW w:w="7646" w:type="dxa"/>
        <w:jc w:val="left"/>
        <w:tblInd w:w="0" w:type="dxa"/>
        <w:tblLayout w:type="fixed"/>
        <w:tblCellMar>
          <w:top w:w="28" w:type="dxa"/>
          <w:left w:w="28" w:type="dxa"/>
          <w:bottom w:w="28" w:type="dxa"/>
          <w:right w:w="28" w:type="dxa"/>
        </w:tblCellMar>
      </w:tblPr>
      <w:tblGrid>
        <w:gridCol w:w="922"/>
        <w:gridCol w:w="811"/>
        <w:gridCol w:w="81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2"/>
        <w:gridCol w:w="234"/>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U.S., net sales increased by $18.3 million, or 3.0%, for the three months ended June 30, 2026. From a product standpoint, the increase was primarily driven by Musculoskeletal Solutions sales of $45.7 million, which were driven by increased spine implantable devices sales of $32.3 million and neuromonitoring sales of $10.4 million. This increase was partially offset by decreases in Nevro sales of $15.1 million and decreased domestic Enabling Technology sales of $12.3 million, driven by lower unit placement.</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net sales increased by $25.9 million, or 18.0%, for the three months ended June 30, 2026. From a product standpoint, the increase was primarily driven by Musculoskeletal Solutions sales of $21.2 million and Nevro sales of $1.5 million. Enabling Technology sales increased by $3.2 million as compared to the same period in the prior-year period, primarily driven by increased unit placement. From a geographic standpoint, international net sales in the Europe and Middle East region increased $15.7 million, sales in the Latin American region increased $8.8 million and sales in the Asia Pacific region increased $1.4 million. </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9949" w:type="dxa"/>
        <w:jc w:val="left"/>
        <w:tblInd w:w="0" w:type="dxa"/>
        <w:tblLayout w:type="fixed"/>
        <w:tblCellMar>
          <w:top w:w="28" w:type="dxa"/>
          <w:left w:w="28" w:type="dxa"/>
          <w:bottom w:w="28" w:type="dxa"/>
          <w:right w:w="28" w:type="dxa"/>
        </w:tblCellMar>
      </w:tblPr>
      <w:tblGrid>
        <w:gridCol w:w="1643"/>
        <w:gridCol w:w="1445"/>
        <w:gridCol w:w="1456"/>
        <w:gridCol w:w="211"/>
        <w:gridCol w:w="826"/>
        <w:gridCol w:w="271"/>
        <w:gridCol w:w="109"/>
        <w:gridCol w:w="109"/>
        <w:gridCol w:w="109"/>
        <w:gridCol w:w="211"/>
        <w:gridCol w:w="826"/>
        <w:gridCol w:w="271"/>
        <w:gridCol w:w="109"/>
        <w:gridCol w:w="109"/>
        <w:gridCol w:w="109"/>
        <w:gridCol w:w="211"/>
        <w:gridCol w:w="691"/>
        <w:gridCol w:w="109"/>
        <w:gridCol w:w="109"/>
        <w:gridCol w:w="109"/>
        <w:gridCol w:w="109"/>
        <w:gridCol w:w="210"/>
        <w:gridCol w:w="211"/>
        <w:gridCol w:w="376"/>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$7.3 million, or 2.9%, decrease in cost of sales for the three months ended June 30, 2026 was primarily driven by Nevro amortization of inventory step up of $6.0 million in the prior-year period, with no comparable event in the current-year period. Additionally, there was a decrease in product costs of $7.3 million. This was partially offset by an increase in freight costs of $3.5 million and an increase in depreciation of $1.3 million.</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745"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0"/>
        <w:gridCol w:w="211"/>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$3.6 million, or 9.1%, decrease in research and development expenses was driven by a decrease of $4.0 million in employee-related expenses.</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8465" w:type="dxa"/>
        <w:jc w:val="left"/>
        <w:tblInd w:w="0" w:type="dxa"/>
        <w:tblLayout w:type="fixed"/>
        <w:tblCellMar>
          <w:top w:w="28" w:type="dxa"/>
          <w:left w:w="28" w:type="dxa"/>
          <w:bottom w:w="28" w:type="dxa"/>
          <w:right w:w="28" w:type="dxa"/>
        </w:tblCellMar>
      </w:tblPr>
      <w:tblGrid>
        <w:gridCol w:w="1068"/>
        <w:gridCol w:w="940"/>
        <w:gridCol w:w="947"/>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210"/>
        <w:gridCol w:w="211"/>
        <w:gridCol w:w="376"/>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of $16.8 million, or 5.5%, in selling, general and administrative expenses was primarily driven by a decrease of $19.0 million in employee-related expenses partially offset by an increase of $2.7 million in provision for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Amortization of Intangibles</w:t>
      </w:r>
    </w:p>
    <w:tbl>
      <w:tblPr>
        <w:tblW w:w="7595"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541"/>
        <w:gridCol w:w="109"/>
        <w:gridCol w:w="109"/>
        <w:gridCol w:w="109"/>
        <w:gridCol w:w="109"/>
        <w:gridCol w:w="210"/>
        <w:gridCol w:w="211"/>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intangibles decreased by $0.6 million, or 2.1%, primarily driven by the finalization of amortization of intangible assets as compared to the three months ended June 30, 2025.</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Acquisition-Related Costs</w:t>
      </w:r>
    </w:p>
    <w:tbl>
      <w:tblPr>
        <w:tblW w:w="7955"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63"/>
        <w:gridCol w:w="263"/>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Acquisition-related costs decreased by $22.1 million, or 66.6%, primarily driven by the $26.1 million in expenses related to the Nevro Merger that were incurred during the three months ended June 30, 2025, with no comparable event in the current period. This decrease was partially offset by the change in the fair value of business acquisition liabilities. For the three months ended June 30, 2026, acquisition-related costs included $9.7 million of charges recorded from changes in the fair value of business acquisition liabilities driven by changes in market conditions and the achievement of certain performance conditions, compared to the $5.2 million recorded for the three-month period ended June 30, 2025.</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Restructuring Costs</w:t>
      </w:r>
    </w:p>
    <w:tbl>
      <w:tblPr>
        <w:tblW w:w="7850"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721"/>
        <w:gridCol w:w="271"/>
        <w:gridCol w:w="109"/>
        <w:gridCol w:w="109"/>
        <w:gridCol w:w="109"/>
        <w:gridCol w:w="211"/>
        <w:gridCol w:w="796"/>
        <w:gridCol w:w="109"/>
        <w:gridCol w:w="109"/>
        <w:gridCol w:w="109"/>
        <w:gridCol w:w="109"/>
        <w:gridCol w:w="263"/>
        <w:gridCol w:w="263"/>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The decrease in restructuring costs of $11.6 million, or 85.6% was primarily due to lower employee termination benefit expenses related to the 2024 Synergy Plan and the 2025 Strategic Integration Plan in the current-year period. Refer to </w:t>
      </w:r>
      <w:r>
        <w:rPr>
          <w:color w:val="000000"/>
        </w:rPr>
        <w:t>“</w:t>
      </w:r>
      <w:r>
        <w:rPr>
          <w:rFonts w:ascii="Times New Roman;serif" w:hAnsi="Times New Roman;serif"/>
          <w:b/>
          <w:color w:val="000000"/>
          <w:sz w:val="20"/>
        </w:rPr>
        <w:t>Part I; Item 1. Financial Statements; Notes to Condensed Consolidated Financial Statements (Unaudited); Note 15. Restructuring and Other Costs”</w:t>
      </w:r>
      <w:r>
        <w:rPr>
          <w:color w:val="000000"/>
        </w:rPr>
        <w:t xml:space="preserve"> </w:t>
      </w:r>
      <w:r>
        <w:rPr>
          <w:rFonts w:ascii="Times New Roman;serif" w:hAnsi="Times New Roman;serif"/>
          <w:b w:val="false"/>
          <w:color w:val="000000"/>
          <w:sz w:val="20"/>
        </w:rPr>
        <w:t>for further information regarding the 2024 Synergy Plan and the 2025 Strategic Integration Plan.</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Bargain Purchase Gain</w:t>
      </w:r>
    </w:p>
    <w:tbl>
      <w:tblPr>
        <w:tblW w:w="7955" w:type="dxa"/>
        <w:jc w:val="left"/>
        <w:tblInd w:w="0" w:type="dxa"/>
        <w:tblLayout w:type="fixed"/>
        <w:tblCellMar>
          <w:top w:w="28" w:type="dxa"/>
          <w:left w:w="28" w:type="dxa"/>
          <w:bottom w:w="28" w:type="dxa"/>
          <w:right w:w="28" w:type="dxa"/>
        </w:tblCellMar>
      </w:tblPr>
      <w:tblGrid>
        <w:gridCol w:w="922"/>
        <w:gridCol w:w="811"/>
        <w:gridCol w:w="817"/>
        <w:gridCol w:w="211"/>
        <w:gridCol w:w="406"/>
        <w:gridCol w:w="271"/>
        <w:gridCol w:w="109"/>
        <w:gridCol w:w="109"/>
        <w:gridCol w:w="109"/>
        <w:gridCol w:w="211"/>
        <w:gridCol w:w="826"/>
        <w:gridCol w:w="271"/>
        <w:gridCol w:w="109"/>
        <w:gridCol w:w="109"/>
        <w:gridCol w:w="109"/>
        <w:gridCol w:w="211"/>
        <w:gridCol w:w="901"/>
        <w:gridCol w:w="109"/>
        <w:gridCol w:w="109"/>
        <w:gridCol w:w="109"/>
        <w:gridCol w:w="109"/>
        <w:gridCol w:w="315"/>
        <w:gridCol w:w="316"/>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$110.6 million decrease was due to the bargain purchase gain related to the Nevro Merger as of June 30, 2025, with no comparable event in the current period.</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Other Income/(Expense), Net</w:t>
      </w:r>
    </w:p>
    <w:tbl>
      <w:tblPr>
        <w:tblW w:w="7550"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85"/>
        <w:gridCol w:w="286"/>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391.3</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income/(expense) increased by $5.9 million, or 391.3%, primarily due to a $5.7 million increase in interest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Income Tax Provision/(Benefit)</w:t>
      </w:r>
    </w:p>
    <w:tbl>
      <w:tblPr>
        <w:tblW w:w="8044" w:type="dxa"/>
        <w:jc w:val="left"/>
        <w:tblInd w:w="0" w:type="dxa"/>
        <w:tblLayout w:type="fixed"/>
        <w:tblCellMar>
          <w:top w:w="28" w:type="dxa"/>
          <w:left w:w="28" w:type="dxa"/>
          <w:bottom w:w="28" w:type="dxa"/>
          <w:right w:w="28" w:type="dxa"/>
        </w:tblCellMar>
      </w:tblPr>
      <w:tblGrid>
        <w:gridCol w:w="938"/>
        <w:gridCol w:w="825"/>
        <w:gridCol w:w="831"/>
        <w:gridCol w:w="211"/>
        <w:gridCol w:w="721"/>
        <w:gridCol w:w="271"/>
        <w:gridCol w:w="109"/>
        <w:gridCol w:w="109"/>
        <w:gridCol w:w="109"/>
        <w:gridCol w:w="211"/>
        <w:gridCol w:w="796"/>
        <w:gridCol w:w="331"/>
        <w:gridCol w:w="109"/>
        <w:gridCol w:w="109"/>
        <w:gridCol w:w="109"/>
        <w:gridCol w:w="211"/>
        <w:gridCol w:w="721"/>
        <w:gridCol w:w="109"/>
        <w:gridCol w:w="109"/>
        <w:gridCol w:w="109"/>
        <w:gridCol w:w="109"/>
        <w:gridCol w:w="285"/>
        <w:gridCol w:w="286"/>
        <w:gridCol w:w="316"/>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(14,673)</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3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increase in the effective tax rate was due to a one-time tax benefit in the prior period related to state valuation allowance release and the impact of the non-taxable bargain purchase gain.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Six Months Ended June 30, 2026 Compared to the Six Months Ended June 30, 2025</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our net sales by geography expressed as dollar amounts and the changes in net sales between the specified periods expressed in dollar amounts and as percentages:</w:t>
      </w:r>
    </w:p>
    <w:tbl>
      <w:tblPr>
        <w:tblW w:w="8051" w:type="dxa"/>
        <w:jc w:val="left"/>
        <w:tblInd w:w="0" w:type="dxa"/>
        <w:tblLayout w:type="fixed"/>
        <w:tblCellMar>
          <w:top w:w="28" w:type="dxa"/>
          <w:left w:w="28" w:type="dxa"/>
          <w:bottom w:w="28" w:type="dxa"/>
          <w:right w:w="28" w:type="dxa"/>
        </w:tblCellMar>
      </w:tblPr>
      <w:tblGrid>
        <w:gridCol w:w="922"/>
        <w:gridCol w:w="811"/>
        <w:gridCol w:w="817"/>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33"/>
        <w:gridCol w:w="233"/>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net sales increased by $139.4 million, or 12.8%, for the six months ended June 30, 2026. From a product standpoint, the increase was primarily driven by Nevro sales of $52.2 million and increased Musculoskeletal Solutions sales of $99.4 million, which were driven by increased spine implantable devices sales of $71.1 million and neuromonitoring sales of $20.5 million. </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net sales increased by $66.7 million, or 25.8%, for the six months ended June 30, 2026. From a product standpoint, the increase was primarily driven by Musculoskeletal Solutions sales of $41.9 million and Nevro sales of $17.0 million. Enabling Technology sales increased by $7.8 million as compared to the six-month period ended June 30, 2025, primarily driven by increased unit placement. From a geographic standpoint, international net sales in the Europe and Middle East region increased $46.6 million, sales in the Latin American region increased $14.0 million and sales in the Asia Pacific region increased $6.0 million. </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9859" w:type="dxa"/>
        <w:jc w:val="left"/>
        <w:tblInd w:w="0" w:type="dxa"/>
        <w:tblLayout w:type="fixed"/>
        <w:tblCellMar>
          <w:top w:w="28" w:type="dxa"/>
          <w:left w:w="28" w:type="dxa"/>
          <w:bottom w:w="28" w:type="dxa"/>
          <w:right w:w="28" w:type="dxa"/>
        </w:tblCellMar>
      </w:tblPr>
      <w:tblGrid>
        <w:gridCol w:w="1643"/>
        <w:gridCol w:w="1445"/>
        <w:gridCol w:w="1456"/>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475,505 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$31.3 million, or 7.1%, increase in cost of sales for the six months ended June 30, 2026 was primarily driven by the cost of sales from Nevro products of $8.9 million, an increase in freight cost of $7.9 million, an increase in product cost of $6.9 million driven primarily by higher volume, and an increase in depreciation of $3.3 million.</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595"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541"/>
        <w:gridCol w:w="109"/>
        <w:gridCol w:w="109"/>
        <w:gridCol w:w="109"/>
        <w:gridCol w:w="109"/>
        <w:gridCol w:w="210"/>
        <w:gridCol w:w="211"/>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remained materially consistent period over period, decreasing $0.2 million, or 0.3%, in the current-year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8270" w:type="dxa"/>
        <w:jc w:val="left"/>
        <w:tblInd w:w="0" w:type="dxa"/>
        <w:tblLayout w:type="fixed"/>
        <w:tblCellMar>
          <w:top w:w="28" w:type="dxa"/>
          <w:left w:w="28" w:type="dxa"/>
          <w:bottom w:w="28" w:type="dxa"/>
          <w:right w:w="28" w:type="dxa"/>
        </w:tblCellMar>
      </w:tblPr>
      <w:tblGrid>
        <w:gridCol w:w="1068"/>
        <w:gridCol w:w="940"/>
        <w:gridCol w:w="94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584,598 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of $38.2 million, or 7.0%, in selling, general and administrative expenses was primarily driven by an increase of $27.3 million for Nevro expenses, as well as a $9.1 million increase in employee-related expenses, a $4.1 million increase in provision for litigation, a $2.5 million increase in meeting expenses and a $1.3 million increase in outside consulting fees. These increases were partially offset by a decrease of $6.3 million in taxes and fees.</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Amortization of Intangibles</w:t>
      </w:r>
    </w:p>
    <w:tbl>
      <w:tblPr>
        <w:tblW w:w="7295"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361"/>
        <w:gridCol w:w="109"/>
        <w:gridCol w:w="109"/>
        <w:gridCol w:w="109"/>
        <w:gridCol w:w="109"/>
        <w:gridCol w:w="180"/>
        <w:gridCol w:w="181"/>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intangibles increased by $0.1 million, or 0.2%, primarily driven by the acquisition of intangibles in connection with the Nevro Merger, which contributed $3.4 million in expense in the current period as compared to $1.5 million in the same period of the prior year. This increase was partially offset by the finalization of amortization of other intangible assets as compared to the six months ended June 30, 2025.</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Acquisition-Related Costs</w:t>
      </w:r>
    </w:p>
    <w:tbl>
      <w:tblPr>
        <w:tblW w:w="7955"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63"/>
        <w:gridCol w:w="263"/>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Acquisition-related costs decreased by $16.8 million, or 49.0%, primarily driven by the $26.1 million in expenses related to the Nevro Merger that were incurred during the six months ended June 30, 2025, with no comparable event in the current period. This decrease was partially offset by the change in the fair value of business acquisition liabilities. For the six months ended June 30, 2026, acquisition-related costs included $16.1 million of charges recorded from changes in the fair value of business acquisition liabilities driven by changes in market conditions and the achievement of certain performance conditions, compared to the $5.4 million recorded for the six-month period ended June 30, 2025.</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Restructuring Costs</w:t>
      </w:r>
    </w:p>
    <w:tbl>
      <w:tblPr>
        <w:tblW w:w="7745"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721"/>
        <w:gridCol w:w="271"/>
        <w:gridCol w:w="109"/>
        <w:gridCol w:w="109"/>
        <w:gridCol w:w="109"/>
        <w:gridCol w:w="211"/>
        <w:gridCol w:w="691"/>
        <w:gridCol w:w="109"/>
        <w:gridCol w:w="109"/>
        <w:gridCol w:w="109"/>
        <w:gridCol w:w="109"/>
        <w:gridCol w:w="263"/>
        <w:gridCol w:w="263"/>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The $6.4 million, or 47.1%, decrease in restructuring costs was primarily due to lower employee termination benefit expenses related to the 2024 Synergy Plan and the 2025 Strategic Integration Plan during the current-year period. Refer to </w:t>
      </w:r>
      <w:r>
        <w:rPr>
          <w:color w:val="000000"/>
        </w:rPr>
        <w:t>“</w:t>
      </w:r>
      <w:r>
        <w:rPr>
          <w:rFonts w:ascii="Times New Roman;serif" w:hAnsi="Times New Roman;serif"/>
          <w:b/>
          <w:color w:val="000000"/>
          <w:sz w:val="20"/>
        </w:rPr>
        <w:t>Part I; Item 1. Financial Statements; Notes to Condensed Consolidated Financial Statements (Unaudited); Note 15. Restructuring and Other Costs”</w:t>
      </w:r>
      <w:r>
        <w:rPr>
          <w:color w:val="000000"/>
        </w:rPr>
        <w:t xml:space="preserve"> </w:t>
      </w:r>
      <w:r>
        <w:rPr>
          <w:rFonts w:ascii="Times New Roman;serif" w:hAnsi="Times New Roman;serif"/>
          <w:b w:val="false"/>
          <w:color w:val="000000"/>
          <w:sz w:val="20"/>
        </w:rPr>
        <w:t>for further information regarding the 2024 Synergy Plan and the 2025 Strategic Integration Plan.</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Bargain Purchase Gain</w:t>
      </w:r>
    </w:p>
    <w:tbl>
      <w:tblPr>
        <w:tblW w:w="8060"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826"/>
        <w:gridCol w:w="271"/>
        <w:gridCol w:w="109"/>
        <w:gridCol w:w="109"/>
        <w:gridCol w:w="109"/>
        <w:gridCol w:w="211"/>
        <w:gridCol w:w="901"/>
        <w:gridCol w:w="109"/>
        <w:gridCol w:w="109"/>
        <w:gridCol w:w="109"/>
        <w:gridCol w:w="109"/>
        <w:gridCol w:w="263"/>
        <w:gridCol w:w="263"/>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$109.4 million decrease was due to the bargain purchase gain related to the Nevro Merger as of June 30, 2025 compared to the $1.1 million measurement period adjustments booked as of the six months ended June 30, 2026.</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Other Income/(Expense), Net</w:t>
      </w:r>
    </w:p>
    <w:tbl>
      <w:tblPr>
        <w:tblW w:w="7550"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233"/>
        <w:gridCol w:w="233"/>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Other income/(expense) increased by $4.8 million, or 58.6%, primarily driven by a net increase in interest income of $10.1 million, which was driven by a $7.3 million decrease in interest expense and a $2.9 million increase in interest income. This was offset by a foreign currency loss in the current period compared to a $4.3 million gain in the same period of the prior year. Refer to </w:t>
      </w:r>
      <w:r>
        <w:rPr>
          <w:color w:val="000000"/>
        </w:rPr>
        <w:t>“</w:t>
      </w:r>
      <w:r>
        <w:rPr>
          <w:rFonts w:ascii="Times New Roman;serif" w:hAnsi="Times New Roman;serif"/>
          <w:b/>
          <w:color w:val="000000"/>
          <w:sz w:val="20"/>
        </w:rPr>
        <w:t>Part I; Item 1. Financial Statements; Notes to Condensed Consolidated Financial Statements (Unaudited); Note 11. Debt”</w:t>
      </w:r>
      <w:r>
        <w:rPr>
          <w:color w:val="000000"/>
        </w:rPr>
        <w:t xml:space="preserve"> </w:t>
      </w:r>
      <w:r>
        <w:rPr>
          <w:rFonts w:ascii="Times New Roman;serif" w:hAnsi="Times New Roman;serif"/>
          <w:b w:val="false"/>
          <w:color w:val="000000"/>
          <w:sz w:val="20"/>
        </w:rPr>
        <w:t>for further information regarding the decrease in interest expense.</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Income Tax Provision/(Benefit)</w:t>
      </w:r>
    </w:p>
    <w:tbl>
      <w:tblPr>
        <w:tblW w:w="7909" w:type="dxa"/>
        <w:jc w:val="left"/>
        <w:tblInd w:w="0" w:type="dxa"/>
        <w:tblLayout w:type="fixed"/>
        <w:tblCellMar>
          <w:top w:w="28" w:type="dxa"/>
          <w:left w:w="28" w:type="dxa"/>
          <w:bottom w:w="28" w:type="dxa"/>
          <w:right w:w="28" w:type="dxa"/>
        </w:tblCellMar>
      </w:tblPr>
      <w:tblGrid>
        <w:gridCol w:w="938"/>
        <w:gridCol w:w="825"/>
        <w:gridCol w:w="831"/>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85"/>
        <w:gridCol w:w="286"/>
        <w:gridCol w:w="316"/>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increase in the effective tax rate was due to a one-time tax benefit in the prior period related to state valuation allowance release and the impact of the non-taxable bargain purchase gain.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source of liquidity is cash flow from operating activities, as well as our cash and cash equivalents and marketable securities, which we believe will provide sufficient funding for us to meet our liquidity requirements for the foreseeable future. Our principal liquidity requirements are to fund working capital, research and development, including clinical trials, capital expenditures primarily related to investment in surgical sets required to maintain and expand our business, contingent consideration achievement obligations, potential future business or intellectual property acquisitions. We expect to continue to make investments in surgical sets as we launch new products, increase the size of our U.S. sales force, and expand into international markets. Future litigation or requirements to escrow funds could also materially impact our liquidity and our ability to invest in and operate our business on an ongoing basis. We may require additional liquidity as we continue to execute our business strategy. To the extent that we require new sources of liquidity, we may consider incurring debt, including borrowing against our existing credit facility, convertible debt instruments, and/or raising additional funds through an equity offering. The sale of additional equity may result in dilution to our stockholders. There is no assurance that we will be able to secure such additional funding on terms acceptable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Line of Credit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2023, we entered into an unsecured credit agreement with U.S. Bank National Association, as administrative agent, Citizens Bank, N.A., as syndication agent, Royal Bank of Canada, as documentation agent, U.S. Bank National Association and Citizens Bank, N.A., as joint lead arrangers and joint book runners, and the other lenders referred to therein (the “September 2023 Credit Agreement”), that provides a revolving credit facility permitting borrowings up to $400.0 million and has a termination date of September 27, 2028. We may request an increase in the revolving commitments in an aggregate amount not to exceed (i) $200 million or (ii) an unlimited amount, so long as the Leverage Ratio (as defined in the September 2023 Credit Agreement) is at least 0.25 to 1.00 less than the applicable Leverage Ratio then required under the September 2023 Credit Agreement. Revolving loans under the September 2023 Credit Agreement bear interest at either a base rate or the Term SOFR Rate (as defined in the September 2023 Credit Agreement) plus, in each case, an applicable margin, as determined in accordance with the provisions of the September 2023 Credit Agreement. The Applicable Margin ranges from 0.125% to 0.625% for the Base Rate and 1.125% to 1.625% for the Term SOFR Rate (each as defined in the September 2023 Credit Agreement). We may also request Swingline Loans at either the Base Rate or the Daily Term SOFR Rate (each as defined in the September 2023 Credit Agreement). The September 2023 Credit Agreement is guaranteed by certain direct or indirect wholly owned subsidiaries of the Company. The September 2023 Credit Agreement contains financial and other customary covenants, including a funded net indebtedness to adjusted EBITDA ratio. As of June 30, 2026, we had no outstanding borrowings under the September 2023 Credit Agreement and we were in compliance with all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for the periods indicated, cash flows from operating, investing and financing activities:</w:t>
      </w:r>
    </w:p>
    <w:tbl>
      <w:tblPr>
        <w:tblW w:w="8441" w:type="dxa"/>
        <w:jc w:val="left"/>
        <w:tblInd w:w="0" w:type="dxa"/>
        <w:tblLayout w:type="fixed"/>
        <w:tblCellMar>
          <w:top w:w="28" w:type="dxa"/>
          <w:left w:w="28" w:type="dxa"/>
          <w:bottom w:w="28" w:type="dxa"/>
          <w:right w:w="28" w:type="dxa"/>
        </w:tblCellMar>
      </w:tblPr>
      <w:tblGrid>
        <w:gridCol w:w="1532"/>
        <w:gridCol w:w="1347"/>
        <w:gridCol w:w="1350"/>
        <w:gridCol w:w="211"/>
        <w:gridCol w:w="826"/>
        <w:gridCol w:w="109"/>
        <w:gridCol w:w="109"/>
        <w:gridCol w:w="109"/>
        <w:gridCol w:w="109"/>
        <w:gridCol w:w="211"/>
        <w:gridCol w:w="901"/>
        <w:gridCol w:w="109"/>
        <w:gridCol w:w="109"/>
        <w:gridCol w:w="109"/>
        <w:gridCol w:w="109"/>
        <w:gridCol w:w="211"/>
        <w:gridCol w:w="82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2026-2025</w:t>
              <w:br/>
              <w:t>Change</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investing activities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(143,999)</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544,034</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Provided by Operating Activities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higher net cash provided by operating activities for the six months ended June 30, 2026, was primarily the result of a higher income before taxes of $55.1 million, favorable changes in income taxes paid of $62.6 million and non-cash adjustments of $128.5 million. This was primarily due to the bargain purchase gain recognized during the six months ended June 30, 2025. This increase was partially offset by unfavorable changes in accounts receivable of $47.6 million and inventory of $32.8 million.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higher net cash used in investing activities for the six months ended June 30, 2026, was primarily due to an increase in purchases of marketable securities of $252.3 million and a decrease in sales and maturities of marketable securities of $113.8 million and $39.0 million, respectively. This was partially offset by acquisition of businesses, net of cash acquired and purchases of intangible and other assets of $251.1 million.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Used in Financing Activities</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The lower net cash used in financing activities for the six months ended June 30, 2026, was primarily due to the absence of senior convertible note repayments in 2026, as 2025 reflected the final payment of the 2025 Notes </w:t>
      </w:r>
      <w:r>
        <w:rPr>
          <w:rFonts w:ascii="Times New Roman;serif" w:hAnsi="Times New Roman;serif"/>
          <w:b w:val="false"/>
          <w:color w:val="000000"/>
          <w:sz w:val="20"/>
        </w:rPr>
        <w:t xml:space="preserve">(as defined in </w:t>
      </w:r>
      <w:r>
        <w:rPr>
          <w:rFonts w:ascii="Times New Roman;serif" w:hAnsi="Times New Roman;serif"/>
          <w:b w:val="false"/>
          <w:i/>
          <w:color w:val="000000"/>
          <w:sz w:val="20"/>
        </w:rPr>
        <w:t>Note 11. Debt</w:t>
      </w:r>
      <w:r>
        <w:rPr>
          <w:rFonts w:ascii="Times New Roman;serif" w:hAnsi="Times New Roman;serif"/>
          <w:b w:val="false"/>
          <w:color w:val="000000"/>
          <w:sz w:val="20"/>
        </w:rPr>
        <w:t>)</w:t>
      </w:r>
      <w:r>
        <w:rPr>
          <w:rFonts w:ascii="Times New Roman;serif" w:hAnsi="Times New Roman;serif"/>
          <w:b w:val="false"/>
          <w:color w:val="000000"/>
          <w:sz w:val="20"/>
          <w:shd w:fill="FFFFFF" w:val="clear"/>
        </w:rPr>
        <w:t>. Additionally, a decrease in repurchases of the Company's Class A Common Stock (</w:t>
      </w:r>
      <w:r>
        <w:rPr>
          <w:color w:val="000000"/>
        </w:rPr>
        <w:t>“</w:t>
      </w:r>
      <w:r>
        <w:rPr>
          <w:rFonts w:ascii="Times New Roman;serif" w:hAnsi="Times New Roman;serif"/>
          <w:b w:val="false"/>
          <w:color w:val="000000"/>
          <w:sz w:val="20"/>
        </w:rPr>
        <w:t>Class A Common”)</w:t>
      </w:r>
      <w:r>
        <w:rPr>
          <w:color w:val="000000"/>
          <w:shd w:fill="FFFFFF" w:val="clear"/>
        </w:rPr>
        <w:t xml:space="preserve"> </w:t>
      </w:r>
      <w:r>
        <w:rPr>
          <w:rFonts w:ascii="Times New Roman;serif" w:hAnsi="Times New Roman;serif"/>
          <w:b w:val="false"/>
          <w:color w:val="000000"/>
          <w:sz w:val="20"/>
          <w:shd w:fill="FFFFFF" w:val="clear"/>
        </w:rPr>
        <w:t>of $79.4 million, and an increase of $21.0 million in net proceeds from the exercise of stock options also contributed to the decrease in cash used in financing activities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connection with the Nevro Merger, the Company acquired additional obligations and commitments, including, operating lease obligations. Refer to </w:t>
      </w:r>
      <w:r>
        <w:rPr>
          <w:color w:val="000000"/>
        </w:rPr>
        <w:t>“</w:t>
      </w:r>
      <w:r>
        <w:rPr>
          <w:rFonts w:ascii="Times New Roman;serif" w:hAnsi="Times New Roman;serif"/>
          <w:b/>
          <w:color w:val="000000"/>
          <w:sz w:val="20"/>
        </w:rPr>
        <w:t>Part I; Item 1. Financial Statements; Notes to Condensed Consolidated Financial Statements (Unaudited); Note 16. Leases”</w:t>
      </w:r>
      <w:r>
        <w:rPr>
          <w:color w:val="000000"/>
        </w:rPr>
        <w:t xml:space="preserve"> </w:t>
      </w:r>
      <w:r>
        <w:rPr>
          <w:rFonts w:ascii="Times New Roman;serif" w:hAnsi="Times New Roman;serif"/>
          <w:b w:val="false"/>
          <w:color w:val="000000"/>
          <w:sz w:val="20"/>
        </w:rPr>
        <w:t>above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Recently Adopted and Recently Issued Accounting Pronouncements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For further details on recently issued accounting pronouncements, please refer to </w:t>
      </w:r>
      <w:r>
        <w:rPr>
          <w:color w:val="000000"/>
        </w:rPr>
        <w:t>“</w:t>
      </w:r>
      <w:r>
        <w:rPr>
          <w:rFonts w:ascii="Times New Roman;serif" w:hAnsi="Times New Roman;serif"/>
          <w:b/>
          <w:color w:val="000000"/>
          <w:sz w:val="20"/>
        </w:rPr>
        <w:t>Part I; Item 1. Financial Statements; Notes to Condensed Consolidated Financial Statements (Unaudited); Note 2. Summary of Significant Accounting Policies, (i) Recently Issued Accounting Pronouncements and (j) Recently Adopted Accounting Pronouncements”</w:t>
      </w:r>
      <w:r>
        <w:rPr>
          <w:color w:val="000000"/>
        </w:rPr>
        <w:t xml:space="preserve"> </w:t>
      </w:r>
      <w:r>
        <w:rPr>
          <w:rFonts w:ascii="Times New Roman;serif" w:hAnsi="Times New Roman;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have evaluated the information required under this item that was disclosed under Item 7A in our </w:t>
      </w:r>
      <w:hyperlink r:id="rId6">
        <w:r>
          <w:rPr>
            <w:rStyle w:val="InternetLink"/>
            <w:rFonts w:ascii="Times New Roman;serif" w:hAnsi="Times New Roman;serif"/>
            <w:b w:val="false"/>
            <w:color w:val="0000FF"/>
            <w:sz w:val="20"/>
            <w:u w:val="single"/>
          </w:rPr>
          <w:t>Annual Report on Form 10-K for the year ended December 31, 2025</w:t>
        </w:r>
      </w:hyperlink>
      <w:r>
        <w:rPr>
          <w:color w:val="000000"/>
        </w:rPr>
        <w:t xml:space="preserve"> </w:t>
      </w:r>
      <w:r>
        <w:rPr>
          <w:rFonts w:ascii="Times New Roman;serif" w:hAnsi="Times New Roman;serif"/>
          <w:b w:val="false"/>
          <w:color w:val="000000"/>
          <w:sz w:val="20"/>
        </w:rPr>
        <w:t>filed with the SEC on February 24, 2026, and there have been no significant changes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(“CEO”) and our Chief Financial Officer (“CFO”),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Exchange Act is recorded, processed, summarized and reported, within the time periods specified in the SEC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their evaluation of our disclosure controls and procedures as of June 30, 2026, our CEO and CFO concluded that, as of such date, our disclosure controls and procedures were effective.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June 30, 2026 that have materially affected, or are reasonably likely to materially affect, our internal control over financial reporting.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For example,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We are involved in a number of proceedings, legal actions and claims. Such matters are subject to many uncertainties, and the outcomes of these matters are not within our control and may not be known for prolonged periods of time. In some actions, the claimants seek damages, as well as other relief, including injunctions prohibiting us from engaging in certain activities, which, if granted, could require significant expenditures and/or result in lost revenues. For further details on the material legal proceedings to which we are currently a party, please refer to </w:t>
      </w:r>
      <w:r>
        <w:rPr>
          <w:color w:val="000000"/>
        </w:rPr>
        <w:t>“</w:t>
      </w:r>
      <w:r>
        <w:rPr>
          <w:rFonts w:ascii="Times New Roman;serif" w:hAnsi="Times New Roman;serif"/>
          <w:b/>
          <w:color w:val="000000"/>
          <w:sz w:val="20"/>
        </w:rPr>
        <w:t>Part I; Item 1. Financial Statements; Notes to Condensed Consolidated Financial Statements (Unaudited); Note 17. Commitments and Contingencies”</w:t>
      </w:r>
      <w:r>
        <w:rPr>
          <w:color w:val="000000"/>
        </w:rPr>
        <w:t xml:space="preserve"> </w:t>
      </w:r>
      <w:r>
        <w:rPr>
          <w:rFonts w:ascii="Times New Roman;serif" w:hAnsi="Times New Roman;serif"/>
          <w:b w:val="false"/>
          <w:color w:val="000000"/>
          <w:sz w:val="20"/>
        </w:rPr>
        <w:t>above.</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legal proceedings arising in the ordinary course of business. Consistent with Item 103 of Regulation S-K, we have elected to disclose those environmental proceedings with a governmental entity as a party where the Company reasonably believes that such proceeding would result in monetary sanctions, exclusive of interest and costs, of $1.0 million or more. Applying this threshold, there are no environmental matters to disclose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Risk factors that could cause our actual results to differ from our expectations and that could negatively impact our business, results of operations and financial condition are discussed in our Annual Report on Form 10-K for the year ended December 31, 2025 filed with the SEC on February 24, 2026. If any of these risks actually occur, our business, results of operations, financial condition and future growth prospects could be materially and adversely affected. You should carefully read and consider each of these risks, together with all of the other information set forth in this Quarterly Report on Form 10-Q. The risks and uncertainties described are not the only ones we face. Additional risks and uncertainties not presently known to us or that we currently believe are immaterial may also materially adversely affect our business, results of operations, financial condition and future growth prospects, and our stock price.</w:t>
      </w:r>
    </w:p>
    <w:p>
      <w:pPr>
        <w:pStyle w:val="TextBody"/>
        <w:bidi w:val="0"/>
        <w:spacing w:lineRule="auto" w:line="276" w:before="0" w:after="200"/>
        <w:ind w:left="0" w:right="0" w:firstLine="720"/>
        <w:jc w:val="both"/>
        <w:rPr/>
      </w:pPr>
      <w:r>
        <w:rPr>
          <w:rFonts w:ascii="Times New Roman;serif" w:hAnsi="Times New Roman;serif"/>
          <w:b w:val="false"/>
          <w:color w:val="000000"/>
          <w:sz w:val="20"/>
          <w:shd w:fill="FFFFFF" w:val="clear"/>
        </w:rPr>
        <w:t xml:space="preserve">There have been no material changes to the risk factors set forth in Item 1A. “Risk Factors” of our </w:t>
      </w:r>
      <w:hyperlink r:id="rId7">
        <w:r>
          <w:rPr>
            <w:rStyle w:val="InternetLink"/>
            <w:rFonts w:ascii="Times New Roman;serif" w:hAnsi="Times New Roman;serif"/>
            <w:b w:val="false"/>
            <w:color w:val="0000FF"/>
            <w:sz w:val="20"/>
            <w:u w:val="single"/>
            <w:shd w:fill="FFFFFF" w:val="clear"/>
          </w:rPr>
          <w:t>2025 Annual Report on Form 10-K filed with the SEC on February 24, 2026</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ind w:left="0" w:right="0" w:hanging="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previously repurchased shares of our Class A Common pursuant to the publicly announced $200 million share repurchase program that was authorized by the Company’s Board of Directors (the </w:t>
      </w:r>
      <w:r>
        <w:rPr>
          <w:color w:val="000000"/>
          <w:shd w:fill="FFFFFF" w:val="clear"/>
        </w:rPr>
        <w:t>“</w:t>
      </w:r>
      <w:r>
        <w:rPr>
          <w:rFonts w:ascii="Times New Roman;serif" w:hAnsi="Times New Roman;serif"/>
          <w:b w:val="false"/>
          <w:color w:val="000000"/>
          <w:sz w:val="20"/>
        </w:rPr>
        <w:t>Board</w:t>
      </w:r>
      <w:r>
        <w:rPr>
          <w:color w:val="000000"/>
          <w:shd w:fill="FFFFFF" w:val="clear"/>
        </w:rPr>
        <w:t>”</w:t>
      </w:r>
      <w:r>
        <w:rPr>
          <w:rFonts w:ascii="Times New Roman;serif" w:hAnsi="Times New Roman;serif"/>
          <w:b w:val="false"/>
          <w:color w:val="000000"/>
          <w:sz w:val="20"/>
        </w:rPr>
        <w:t xml:space="preserve">) in March 2020 and subsequently increased by authorization of the Board by $200 million and $350 million in March 2022 and September 2023, respectively. On May 15, 2025, the Board approved a new share repurchase program that authorizes the Company to repurchase up to $500 million of the Company’s Class A Common. </w:t>
      </w:r>
      <w:r>
        <w:rPr>
          <w:rFonts w:ascii="Times New Roman;serif" w:hAnsi="Times New Roman;serif"/>
          <w:b w:val="false"/>
          <w:color w:val="000000"/>
          <w:sz w:val="20"/>
          <w:shd w:fill="FFFFFF" w:val="clear"/>
        </w:rPr>
        <w:t>Repurchases may be made through privately negotiated transactions or open market transactions, including pursuant to a trading plan in accordance with Rule 10b5-1 and/or Rule 10b-18 under the Exchange Act. The repurchase program has no time limit and may be suspended for periods or discontinued at any time.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activity related to share repurchases for the second quarter of 2026.</w:t>
      </w:r>
    </w:p>
    <w:tbl>
      <w:tblPr>
        <w:tblW w:w="10205" w:type="dxa"/>
        <w:jc w:val="left"/>
        <w:tblInd w:w="0" w:type="dxa"/>
        <w:tblLayout w:type="fixed"/>
        <w:tblCellMar>
          <w:top w:w="28" w:type="dxa"/>
          <w:left w:w="28" w:type="dxa"/>
          <w:bottom w:w="28" w:type="dxa"/>
          <w:right w:w="28" w:type="dxa"/>
        </w:tblCellMar>
      </w:tblPr>
      <w:tblGrid>
        <w:gridCol w:w="576"/>
        <w:gridCol w:w="507"/>
        <w:gridCol w:w="508"/>
        <w:gridCol w:w="500"/>
        <w:gridCol w:w="500"/>
        <w:gridCol w:w="502"/>
        <w:gridCol w:w="109"/>
        <w:gridCol w:w="109"/>
        <w:gridCol w:w="109"/>
        <w:gridCol w:w="432"/>
        <w:gridCol w:w="432"/>
        <w:gridCol w:w="434"/>
        <w:gridCol w:w="109"/>
        <w:gridCol w:w="109"/>
        <w:gridCol w:w="109"/>
        <w:gridCol w:w="748"/>
        <w:gridCol w:w="748"/>
        <w:gridCol w:w="750"/>
        <w:gridCol w:w="109"/>
        <w:gridCol w:w="109"/>
        <w:gridCol w:w="109"/>
        <w:gridCol w:w="457"/>
        <w:gridCol w:w="1790"/>
        <w:gridCol w:w="340"/>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per share prices)</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50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w:t>
            </w:r>
            <w:r>
              <w:rPr>
                <w:color w:val="000000"/>
              </w:rPr>
              <w:t xml:space="preserve">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price paid per share</w:t>
            </w:r>
            <w:r>
              <w:rPr>
                <w:color w:val="000000"/>
              </w:rPr>
              <w:t xml:space="preserve"> </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as part of publicly announced </w:t>
            </w:r>
          </w:p>
          <w:p>
            <w:pPr>
              <w:pStyle w:val="TableContents"/>
              <w:bidi w:val="0"/>
              <w:spacing w:lineRule="auto" w:line="288" w:before="0" w:after="0"/>
              <w:jc w:val="center"/>
              <w:rPr/>
            </w:pPr>
            <w:r>
              <w:rPr>
                <w:rFonts w:ascii="Times New Roman;serif" w:hAnsi="Times New Roman;serif"/>
                <w:b/>
                <w:color w:val="000000"/>
                <w:sz w:val="16"/>
              </w:rPr>
              <w:t xml:space="preserve">plans or programs </w:t>
            </w:r>
            <w:r>
              <w:rPr>
                <w:rFonts w:ascii="Times New Roman;serif" w:hAnsi="Times New Roman;serif"/>
                <w:b/>
                <w:color w:val="000000"/>
                <w:sz w:val="10"/>
              </w:rPr>
              <w:t xml:space="preserv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Approximate dollar value of shares that may yet be purchased under </w:t>
            </w:r>
          </w:p>
          <w:p>
            <w:pPr>
              <w:pStyle w:val="TableContents"/>
              <w:bidi w:val="0"/>
              <w:spacing w:lineRule="auto" w:line="288" w:before="0" w:after="0"/>
              <w:jc w:val="center"/>
              <w:rPr/>
            </w:pPr>
            <w:r>
              <w:rPr>
                <w:rFonts w:ascii="Times New Roman;serif" w:hAnsi="Times New Roman;serif"/>
                <w:b/>
                <w:color w:val="000000"/>
                <w:sz w:val="16"/>
              </w:rPr>
              <w:t xml:space="preserve">the plans or programs </w:t>
            </w:r>
            <w:r>
              <w:rPr>
                <w:rFonts w:ascii="Times New Roman;serif" w:hAnsi="Times New Roman;serif"/>
                <w:b/>
                <w:color w:val="000000"/>
                <w:sz w:val="10"/>
              </w:rPr>
              <w:t>(a)</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15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390,000 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254,871 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253,942 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50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 xml:space="preserve">(a)On May 15, 2025, the Board approved a new share repurchase program that authorizes the Company to repurchase up to$500.0 million of the Class A Common. </w:t>
      </w:r>
    </w:p>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(b)Inclusive of an immaterial amount of commission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set forth below, during the quarter ended June 30, 2026, none of our directors or officers (as defined in Rule 16a-1 under the Exchange Act) adopted, modified or terminated a “Rule 10b5-1 trading arrangement” or “non-Rule 10b5-1 trading arrangement” (as those terms are defined in Item 408 of Regulation S-K).</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10, 2026, Ann D. Rhoads, a member of the Board, adopted a trading plan intended to satisfy the conditions under Rule 10b5-1(c) of the Exchange Act. Ms. Rhoads’s Rule 10b5-1 trading plan has a term ending upon the earlier of (i) September 10, 2027 or (ii) the sale of all shares subject to the plan and provides for the sale of up to 25,000 shares of Class A Common pursuant to the terms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 in parentheses.</w:t>
      </w:r>
    </w:p>
    <w:tbl>
      <w:tblPr>
        <w:tblW w:w="10205" w:type="dxa"/>
        <w:jc w:val="left"/>
        <w:tblInd w:w="0" w:type="dxa"/>
        <w:tblLayout w:type="fixed"/>
        <w:tblCellMar>
          <w:top w:w="28" w:type="dxa"/>
          <w:left w:w="28" w:type="dxa"/>
          <w:bottom w:w="28" w:type="dxa"/>
          <w:right w:w="28" w:type="dxa"/>
        </w:tblCellMar>
      </w:tblPr>
      <w:tblGrid>
        <w:gridCol w:w="333"/>
        <w:gridCol w:w="293"/>
        <w:gridCol w:w="294"/>
        <w:gridCol w:w="109"/>
        <w:gridCol w:w="109"/>
        <w:gridCol w:w="109"/>
        <w:gridCol w:w="2670"/>
        <w:gridCol w:w="2584"/>
        <w:gridCol w:w="3704"/>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gmed-2021equityincentivepl.htm">
              <w:r>
                <w:rPr>
                  <w:rStyle w:val="InternetLink"/>
                  <w:rFonts w:ascii="Times New Roman;serif" w:hAnsi="Times New Roman;serif"/>
                  <w:b w:val="false"/>
                  <w:color w:val="000080"/>
                  <w:sz w:val="20"/>
                  <w:u w:val="single"/>
                </w:rPr>
                <w:t>Globus Medical, Inc. 2021 Equity Incentive Plan, as amended (incorporated by reference to Exhibit 10.1 of Globus Medical, Inc.’s</w:t>
              </w:r>
            </w:hyperlink>
            <w:hyperlink w:anchor="gmed-2021equityincentivepl.htm">
              <w:r>
                <w:rPr>
                  <w:rStyle w:val="InternetLink"/>
                  <w:rFonts w:ascii="Times New Roman;serif" w:hAnsi="Times New Roman;serif"/>
                  <w:b w:val="false"/>
                  <w:color w:val="000080"/>
                  <w:sz w:val="20"/>
                  <w:u w:val="single"/>
                </w:rPr>
                <w:t xml:space="preserve"> </w:t>
              </w:r>
            </w:hyperlink>
            <w:hyperlink w:anchor="gmed-2021equityincentivepl.htm">
              <w:r>
                <w:rPr>
                  <w:rStyle w:val="InternetLink"/>
                  <w:rFonts w:ascii="Times New Roman;serif" w:hAnsi="Times New Roman;serif"/>
                  <w:b w:val="false"/>
                  <w:color w:val="000080"/>
                  <w:sz w:val="20"/>
                  <w:u w:val="single"/>
                </w:rPr>
                <w:t>Current Report on Form 8-K filed with the SEC on June 4, 2026).</w:t>
              </w:r>
            </w:hyperlink>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med-20260630xex311.htm">
              <w:r>
                <w:rPr>
                  <w:rStyle w:val="InternetLink"/>
                  <w:rFonts w:ascii="Times New Roman;serif" w:hAnsi="Times New Roman;serif"/>
                  <w:b w:val="false"/>
                  <w:color w:val="0000FF"/>
                  <w:sz w:val="20"/>
                  <w:u w:val="single"/>
                </w:rPr>
                <w:t>Certification by Principal Executive Officer pursuant to Section 302 of the Sarbanes-Oxley Act of 2002.</w:t>
              </w:r>
            </w:hyperlink>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gmed-20260630xex312.htm">
              <w:r>
                <w:rPr>
                  <w:rStyle w:val="InternetLink"/>
                  <w:rFonts w:ascii="Times New Roman;serif" w:hAnsi="Times New Roman;serif"/>
                  <w:b w:val="false"/>
                  <w:color w:val="0000FF"/>
                  <w:sz w:val="20"/>
                  <w:u w:val="single"/>
                </w:rPr>
                <w:t>Certification by Principal Financial Officer pursuant to Section 302 of the Sarbanes-Oxley Act of 2002.</w:t>
              </w:r>
            </w:hyperlink>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med-20260630xex32.htm">
              <w:r>
                <w:rPr>
                  <w:rStyle w:val="InternetLink"/>
                  <w:rFonts w:ascii="Times New Roman;serif" w:hAnsi="Times New Roman;serif"/>
                  <w:b w:val="false"/>
                  <w:color w:val="0000FF"/>
                  <w:sz w:val="20"/>
                  <w:u w:val="single"/>
                </w:rPr>
                <w:t>Certifications pursuant to 18 U.S.C. Section 1350, as adopted pursuant to Section 906 of the Sarbanes-Oxley Act of 2002.</w:t>
              </w:r>
            </w:hyperlink>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60"/>
        <w:jc w:val="left"/>
        <w:rPr/>
      </w:pPr>
      <w:hyperlink w:anchor="i90199a590eec465db717848af2ecc27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86" w:type="dxa"/>
        <w:jc w:val="left"/>
        <w:tblInd w:w="0" w:type="dxa"/>
        <w:tblLayout w:type="fixed"/>
        <w:tblCellMar>
          <w:top w:w="28" w:type="dxa"/>
          <w:left w:w="28" w:type="dxa"/>
          <w:bottom w:w="28" w:type="dxa"/>
          <w:right w:w="28" w:type="dxa"/>
        </w:tblCellMar>
      </w:tblPr>
      <w:tblGrid>
        <w:gridCol w:w="124"/>
        <w:gridCol w:w="109"/>
        <w:gridCol w:w="109"/>
        <w:gridCol w:w="644"/>
        <w:gridCol w:w="644"/>
        <w:gridCol w:w="647"/>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GLOBUS MEDICAL,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 KEITH W. PFEIL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Keith W. Pfeil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 KYLE R. KLINE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2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2021 EQUITY INCENTIVE PLAN,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6775" w:type="dxa"/>
        <w:jc w:val="left"/>
        <w:tblInd w:w="0" w:type="dxa"/>
        <w:tblLayout w:type="fixed"/>
        <w:tblCellMar>
          <w:top w:w="28" w:type="dxa"/>
          <w:left w:w="28" w:type="dxa"/>
          <w:bottom w:w="28" w:type="dxa"/>
          <w:right w:w="28" w:type="dxa"/>
        </w:tblCellMar>
      </w:tblPr>
      <w:tblGrid>
        <w:gridCol w:w="1967"/>
        <w:gridCol w:w="1724"/>
        <w:gridCol w:w="1724"/>
        <w:gridCol w:w="397"/>
        <w:gridCol w:w="397"/>
        <w:gridCol w:w="566"/>
      </w:tblGrid>
      <w:tr>
        <w:trPr/>
        <w:tc>
          <w:tcPr>
            <w:tcW w:w="1967"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677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TABLE OF CONTENTS</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61">
              <w:r>
                <w:rPr>
                  <w:rStyle w:val="InternetLink"/>
                  <w:rFonts w:ascii="Times New Roman;serif" w:hAnsi="Times New Roman;serif"/>
                  <w:b w:val="false"/>
                  <w:strike w:val="false"/>
                  <w:dstrike w:val="false"/>
                  <w:color w:val="000080"/>
                  <w:sz w:val="22"/>
                  <w:u w:val="single"/>
                  <w:effect w:val="none"/>
                </w:rPr>
                <w:t>ARTICLE 1.</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61">
              <w:r>
                <w:rPr>
                  <w:rStyle w:val="InternetLink"/>
                  <w:rFonts w:ascii="Times New Roman;serif" w:hAnsi="Times New Roman;serif"/>
                  <w:b w:val="false"/>
                  <w:strike w:val="false"/>
                  <w:dstrike w:val="false"/>
                  <w:color w:val="000000"/>
                  <w:sz w:val="22"/>
                  <w:u w:val="none"/>
                  <w:effect w:val="none"/>
                </w:rPr>
                <w:t>PURPOSE</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61">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64">
              <w:r>
                <w:rPr>
                  <w:rStyle w:val="InternetLink"/>
                  <w:rFonts w:ascii="Times New Roman;serif" w:hAnsi="Times New Roman;serif"/>
                  <w:b w:val="false"/>
                  <w:strike w:val="false"/>
                  <w:dstrike w:val="false"/>
                  <w:color w:val="000000"/>
                  <w:sz w:val="22"/>
                  <w:u w:val="none"/>
                  <w:effect w:val="none"/>
                </w:rPr>
                <w:t>ARTICLE 2.     DEFINITIONS AND CONSTRUCTION</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64">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67">
              <w:r>
                <w:rPr>
                  <w:rStyle w:val="InternetLink"/>
                  <w:rFonts w:ascii="Times New Roman;serif" w:hAnsi="Times New Roman;serif"/>
                  <w:b w:val="false"/>
                  <w:strike w:val="false"/>
                  <w:dstrike w:val="false"/>
                  <w:color w:val="000000"/>
                  <w:sz w:val="22"/>
                  <w:u w:val="none"/>
                  <w:effect w:val="none"/>
                </w:rPr>
                <w:t>2.1        “Administrator”</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67">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70">
              <w:r>
                <w:rPr>
                  <w:rStyle w:val="InternetLink"/>
                  <w:rFonts w:ascii="Times New Roman;serif" w:hAnsi="Times New Roman;serif"/>
                  <w:b w:val="false"/>
                  <w:strike w:val="false"/>
                  <w:dstrike w:val="false"/>
                  <w:color w:val="000080"/>
                  <w:sz w:val="22"/>
                  <w:u w:val="single"/>
                  <w:effect w:val="none"/>
                </w:rPr>
                <w:t>2.2</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70">
              <w:r>
                <w:rPr>
                  <w:rStyle w:val="InternetLink"/>
                  <w:rFonts w:ascii="Times New Roman;serif" w:hAnsi="Times New Roman;serif"/>
                  <w:b w:val="false"/>
                  <w:strike w:val="false"/>
                  <w:dstrike w:val="false"/>
                  <w:color w:val="000000"/>
                  <w:sz w:val="22"/>
                  <w:u w:val="none"/>
                  <w:effect w:val="none"/>
                </w:rPr>
                <w:t>“Applicable Accounting Standards”</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70">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73">
              <w:r>
                <w:rPr>
                  <w:rStyle w:val="InternetLink"/>
                  <w:rFonts w:ascii="Times New Roman;serif" w:hAnsi="Times New Roman;serif"/>
                  <w:b w:val="false"/>
                  <w:strike w:val="false"/>
                  <w:dstrike w:val="false"/>
                  <w:color w:val="000080"/>
                  <w:sz w:val="22"/>
                  <w:u w:val="single"/>
                  <w:effect w:val="none"/>
                </w:rPr>
                <w:t>2.3</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73">
              <w:r>
                <w:rPr>
                  <w:rStyle w:val="InternetLink"/>
                  <w:rFonts w:ascii="Times New Roman;serif" w:hAnsi="Times New Roman;serif"/>
                  <w:b w:val="false"/>
                  <w:strike w:val="false"/>
                  <w:dstrike w:val="false"/>
                  <w:color w:val="000000"/>
                  <w:sz w:val="22"/>
                  <w:u w:val="none"/>
                  <w:effect w:val="none"/>
                </w:rPr>
                <w:t>“Applicable Law”</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73">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76">
              <w:r>
                <w:rPr>
                  <w:rStyle w:val="InternetLink"/>
                  <w:rFonts w:ascii="Times New Roman;serif" w:hAnsi="Times New Roman;serif"/>
                  <w:b w:val="false"/>
                  <w:strike w:val="false"/>
                  <w:dstrike w:val="false"/>
                  <w:color w:val="000080"/>
                  <w:sz w:val="22"/>
                  <w:u w:val="single"/>
                  <w:effect w:val="none"/>
                </w:rPr>
                <w:t>2.4</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76">
              <w:r>
                <w:rPr>
                  <w:rStyle w:val="InternetLink"/>
                  <w:rFonts w:ascii="Times New Roman;serif" w:hAnsi="Times New Roman;serif"/>
                  <w:b w:val="false"/>
                  <w:strike w:val="false"/>
                  <w:dstrike w:val="false"/>
                  <w:color w:val="000000"/>
                  <w:sz w:val="22"/>
                  <w:u w:val="none"/>
                  <w:effect w:val="none"/>
                </w:rPr>
                <w:t>“Award”</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76">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79">
              <w:r>
                <w:rPr>
                  <w:rStyle w:val="InternetLink"/>
                  <w:rFonts w:ascii="Times New Roman;serif" w:hAnsi="Times New Roman;serif"/>
                  <w:b w:val="false"/>
                  <w:strike w:val="false"/>
                  <w:dstrike w:val="false"/>
                  <w:color w:val="000080"/>
                  <w:sz w:val="22"/>
                  <w:u w:val="single"/>
                  <w:effect w:val="none"/>
                </w:rPr>
                <w:t>2.5</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79">
              <w:r>
                <w:rPr>
                  <w:rStyle w:val="InternetLink"/>
                  <w:rFonts w:ascii="Times New Roman;serif" w:hAnsi="Times New Roman;serif"/>
                  <w:b w:val="false"/>
                  <w:strike w:val="false"/>
                  <w:dstrike w:val="false"/>
                  <w:color w:val="000000"/>
                  <w:sz w:val="22"/>
                  <w:u w:val="none"/>
                  <w:effect w:val="none"/>
                </w:rPr>
                <w:t>“Award Agreement”</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79">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82">
              <w:r>
                <w:rPr>
                  <w:rStyle w:val="InternetLink"/>
                  <w:rFonts w:ascii="Times New Roman;serif" w:hAnsi="Times New Roman;serif"/>
                  <w:b w:val="false"/>
                  <w:strike w:val="false"/>
                  <w:dstrike w:val="false"/>
                  <w:color w:val="000000"/>
                  <w:sz w:val="22"/>
                  <w:u w:val="none"/>
                  <w:effect w:val="none"/>
                </w:rPr>
                <w:t>2.6        “Board”</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82">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85">
              <w:r>
                <w:rPr>
                  <w:rStyle w:val="InternetLink"/>
                  <w:rFonts w:ascii="Times New Roman;serif" w:hAnsi="Times New Roman;serif"/>
                  <w:b w:val="false"/>
                  <w:strike w:val="false"/>
                  <w:dstrike w:val="false"/>
                  <w:color w:val="000080"/>
                  <w:sz w:val="22"/>
                  <w:u w:val="single"/>
                  <w:effect w:val="none"/>
                </w:rPr>
                <w:t>2.7</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85">
              <w:r>
                <w:rPr>
                  <w:rStyle w:val="InternetLink"/>
                  <w:rFonts w:ascii="Times New Roman;serif" w:hAnsi="Times New Roman;serif"/>
                  <w:b w:val="false"/>
                  <w:strike w:val="false"/>
                  <w:dstrike w:val="false"/>
                  <w:color w:val="000000"/>
                  <w:sz w:val="22"/>
                  <w:u w:val="none"/>
                  <w:effect w:val="none"/>
                </w:rPr>
                <w:t>“Change in Control”</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85">
              <w:r>
                <w:rPr>
                  <w:rStyle w:val="InternetLink"/>
                  <w:rFonts w:ascii="Times New Roman;serif" w:hAnsi="Times New Roman;serif"/>
                  <w:b w:val="false"/>
                  <w:strike w:val="false"/>
                  <w:dstrike w:val="false"/>
                  <w:color w:val="000000"/>
                  <w:sz w:val="22"/>
                  <w:u w:val="none"/>
                  <w:effect w:val="none"/>
                </w:rPr>
                <w:t>5</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88">
              <w:r>
                <w:rPr>
                  <w:rStyle w:val="InternetLink"/>
                  <w:rFonts w:ascii="Times New Roman;serif" w:hAnsi="Times New Roman;serif"/>
                  <w:b w:val="false"/>
                  <w:strike w:val="false"/>
                  <w:dstrike w:val="false"/>
                  <w:color w:val="000080"/>
                  <w:sz w:val="22"/>
                  <w:u w:val="single"/>
                  <w:effect w:val="none"/>
                </w:rPr>
                <w:t>2.8</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88">
              <w:r>
                <w:rPr>
                  <w:rStyle w:val="InternetLink"/>
                  <w:rFonts w:ascii="Times New Roman;serif" w:hAnsi="Times New Roman;serif"/>
                  <w:b w:val="false"/>
                  <w:strike w:val="false"/>
                  <w:dstrike w:val="false"/>
                  <w:color w:val="000000"/>
                  <w:sz w:val="22"/>
                  <w:u w:val="none"/>
                  <w:effect w:val="none"/>
                </w:rPr>
                <w:t>“Code”</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88">
              <w:r>
                <w:rPr>
                  <w:rStyle w:val="InternetLink"/>
                  <w:rFonts w:ascii="Times New Roman;serif" w:hAnsi="Times New Roman;serif"/>
                  <w:b w:val="false"/>
                  <w:strike w:val="false"/>
                  <w:dstrike w:val="false"/>
                  <w:color w:val="000000"/>
                  <w:sz w:val="22"/>
                  <w:u w:val="none"/>
                  <w:effect w:val="none"/>
                </w:rPr>
                <w:t>6</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91">
              <w:r>
                <w:rPr>
                  <w:rStyle w:val="InternetLink"/>
                  <w:rFonts w:ascii="Times New Roman;serif" w:hAnsi="Times New Roman;serif"/>
                  <w:b w:val="false"/>
                  <w:strike w:val="false"/>
                  <w:dstrike w:val="false"/>
                  <w:color w:val="000080"/>
                  <w:sz w:val="22"/>
                  <w:u w:val="single"/>
                  <w:effect w:val="none"/>
                </w:rPr>
                <w:t>2.9</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91">
              <w:r>
                <w:rPr>
                  <w:rStyle w:val="InternetLink"/>
                  <w:rFonts w:ascii="Times New Roman;serif" w:hAnsi="Times New Roman;serif"/>
                  <w:b w:val="false"/>
                  <w:strike w:val="false"/>
                  <w:dstrike w:val="false"/>
                  <w:color w:val="000000"/>
                  <w:sz w:val="22"/>
                  <w:u w:val="none"/>
                  <w:effect w:val="none"/>
                </w:rPr>
                <w:t>“Committee”</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91">
              <w:r>
                <w:rPr>
                  <w:rStyle w:val="InternetLink"/>
                  <w:rFonts w:ascii="Times New Roman;serif" w:hAnsi="Times New Roman;serif"/>
                  <w:b w:val="false"/>
                  <w:strike w:val="false"/>
                  <w:dstrike w:val="false"/>
                  <w:color w:val="000000"/>
                  <w:sz w:val="22"/>
                  <w:u w:val="none"/>
                  <w:effect w:val="none"/>
                </w:rPr>
                <w:t>6</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94">
              <w:r>
                <w:rPr>
                  <w:rStyle w:val="InternetLink"/>
                  <w:rFonts w:ascii="Times New Roman;serif" w:hAnsi="Times New Roman;serif"/>
                  <w:b w:val="false"/>
                  <w:strike w:val="false"/>
                  <w:dstrike w:val="false"/>
                  <w:color w:val="000080"/>
                  <w:sz w:val="22"/>
                  <w:u w:val="single"/>
                  <w:effect w:val="none"/>
                </w:rPr>
                <w:t>2.10</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94">
              <w:r>
                <w:rPr>
                  <w:rStyle w:val="InternetLink"/>
                  <w:rFonts w:ascii="Times New Roman;serif" w:hAnsi="Times New Roman;serif"/>
                  <w:b w:val="false"/>
                  <w:strike w:val="false"/>
                  <w:dstrike w:val="false"/>
                  <w:color w:val="000000"/>
                  <w:sz w:val="22"/>
                  <w:u w:val="none"/>
                  <w:effect w:val="none"/>
                </w:rPr>
                <w:t>“Common Stock”</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94">
              <w:r>
                <w:rPr>
                  <w:rStyle w:val="InternetLink"/>
                  <w:rFonts w:ascii="Times New Roman;serif" w:hAnsi="Times New Roman;serif"/>
                  <w:b w:val="false"/>
                  <w:strike w:val="false"/>
                  <w:dstrike w:val="false"/>
                  <w:color w:val="000000"/>
                  <w:sz w:val="22"/>
                  <w:u w:val="none"/>
                  <w:effect w:val="none"/>
                </w:rPr>
                <w:t>6</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97">
              <w:r>
                <w:rPr>
                  <w:rStyle w:val="InternetLink"/>
                  <w:rFonts w:ascii="Times New Roman;serif" w:hAnsi="Times New Roman;serif"/>
                  <w:b w:val="false"/>
                  <w:strike w:val="false"/>
                  <w:dstrike w:val="false"/>
                  <w:color w:val="000080"/>
                  <w:sz w:val="22"/>
                  <w:u w:val="single"/>
                  <w:effect w:val="none"/>
                </w:rPr>
                <w:t>2.11</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97">
              <w:r>
                <w:rPr>
                  <w:rStyle w:val="InternetLink"/>
                  <w:rFonts w:ascii="Times New Roman;serif" w:hAnsi="Times New Roman;serif"/>
                  <w:b w:val="false"/>
                  <w:strike w:val="false"/>
                  <w:dstrike w:val="false"/>
                  <w:color w:val="000000"/>
                  <w:sz w:val="22"/>
                  <w:u w:val="none"/>
                  <w:effect w:val="none"/>
                </w:rPr>
                <w:t>“Company”</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97">
              <w:r>
                <w:rPr>
                  <w:rStyle w:val="InternetLink"/>
                  <w:rFonts w:ascii="Times New Roman;serif" w:hAnsi="Times New Roman;serif"/>
                  <w:b w:val="false"/>
                  <w:strike w:val="false"/>
                  <w:dstrike w:val="false"/>
                  <w:color w:val="000000"/>
                  <w:sz w:val="22"/>
                  <w:u w:val="none"/>
                  <w:effect w:val="none"/>
                </w:rPr>
                <w:t>6</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00">
              <w:r>
                <w:rPr>
                  <w:rStyle w:val="InternetLink"/>
                  <w:rFonts w:ascii="Times New Roman;serif" w:hAnsi="Times New Roman;serif"/>
                  <w:b w:val="false"/>
                  <w:strike w:val="false"/>
                  <w:dstrike w:val="false"/>
                  <w:color w:val="000080"/>
                  <w:sz w:val="22"/>
                  <w:u w:val="single"/>
                  <w:effect w:val="none"/>
                </w:rPr>
                <w:t>2.12</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00">
              <w:r>
                <w:rPr>
                  <w:rStyle w:val="InternetLink"/>
                  <w:rFonts w:ascii="Times New Roman;serif" w:hAnsi="Times New Roman;serif"/>
                  <w:b w:val="false"/>
                  <w:strike w:val="false"/>
                  <w:dstrike w:val="false"/>
                  <w:color w:val="000000"/>
                  <w:sz w:val="22"/>
                  <w:u w:val="none"/>
                  <w:effect w:val="none"/>
                </w:rPr>
                <w:t>“Consultant”</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00">
              <w:r>
                <w:rPr>
                  <w:rStyle w:val="InternetLink"/>
                  <w:rFonts w:ascii="Times New Roman;serif" w:hAnsi="Times New Roman;serif"/>
                  <w:b w:val="false"/>
                  <w:strike w:val="false"/>
                  <w:dstrike w:val="false"/>
                  <w:color w:val="000000"/>
                  <w:sz w:val="22"/>
                  <w:u w:val="none"/>
                  <w:effect w:val="none"/>
                </w:rPr>
                <w:t>6</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03">
              <w:r>
                <w:rPr>
                  <w:rStyle w:val="InternetLink"/>
                  <w:rFonts w:ascii="Times New Roman;serif" w:hAnsi="Times New Roman;serif"/>
                  <w:b w:val="false"/>
                  <w:strike w:val="false"/>
                  <w:dstrike w:val="false"/>
                  <w:color w:val="000080"/>
                  <w:sz w:val="22"/>
                  <w:u w:val="single"/>
                  <w:effect w:val="none"/>
                </w:rPr>
                <w:t>2.13</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03">
              <w:r>
                <w:rPr>
                  <w:rStyle w:val="InternetLink"/>
                  <w:rFonts w:ascii="Times New Roman;serif" w:hAnsi="Times New Roman;serif"/>
                  <w:b w:val="false"/>
                  <w:strike w:val="false"/>
                  <w:dstrike w:val="false"/>
                  <w:color w:val="000000"/>
                  <w:sz w:val="22"/>
                  <w:u w:val="none"/>
                  <w:effect w:val="none"/>
                </w:rPr>
                <w:t>“Director”</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03">
              <w:r>
                <w:rPr>
                  <w:rStyle w:val="InternetLink"/>
                  <w:rFonts w:ascii="Times New Roman;serif" w:hAnsi="Times New Roman;serif"/>
                  <w:b w:val="false"/>
                  <w:strike w:val="false"/>
                  <w:dstrike w:val="false"/>
                  <w:color w:val="000000"/>
                  <w:sz w:val="22"/>
                  <w:u w:val="none"/>
                  <w:effect w:val="none"/>
                </w:rPr>
                <w:t>6</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06">
              <w:r>
                <w:rPr>
                  <w:rStyle w:val="InternetLink"/>
                  <w:rFonts w:ascii="Times New Roman;serif" w:hAnsi="Times New Roman;serif"/>
                  <w:b w:val="false"/>
                  <w:strike w:val="false"/>
                  <w:dstrike w:val="false"/>
                  <w:color w:val="000080"/>
                  <w:sz w:val="22"/>
                  <w:u w:val="single"/>
                  <w:effect w:val="none"/>
                </w:rPr>
                <w:t>2.14</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06">
              <w:r>
                <w:rPr>
                  <w:rStyle w:val="InternetLink"/>
                  <w:rFonts w:ascii="Times New Roman;serif" w:hAnsi="Times New Roman;serif"/>
                  <w:b w:val="false"/>
                  <w:strike w:val="false"/>
                  <w:dstrike w:val="false"/>
                  <w:color w:val="000000"/>
                  <w:sz w:val="22"/>
                  <w:u w:val="none"/>
                  <w:effect w:val="none"/>
                </w:rPr>
                <w:t>“Disability”</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06">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09">
              <w:r>
                <w:rPr>
                  <w:rStyle w:val="InternetLink"/>
                  <w:rFonts w:ascii="Times New Roman;serif" w:hAnsi="Times New Roman;serif"/>
                  <w:b w:val="false"/>
                  <w:strike w:val="false"/>
                  <w:dstrike w:val="false"/>
                  <w:color w:val="000080"/>
                  <w:sz w:val="22"/>
                  <w:u w:val="single"/>
                  <w:effect w:val="none"/>
                </w:rPr>
                <w:t>2.15</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09">
              <w:r>
                <w:rPr>
                  <w:rStyle w:val="InternetLink"/>
                  <w:rFonts w:ascii="Times New Roman;serif" w:hAnsi="Times New Roman;serif"/>
                  <w:b w:val="false"/>
                  <w:strike w:val="false"/>
                  <w:dstrike w:val="false"/>
                  <w:color w:val="000000"/>
                  <w:sz w:val="22"/>
                  <w:u w:val="none"/>
                  <w:effect w:val="none"/>
                </w:rPr>
                <w:t>“DRO”</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09">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12">
              <w:r>
                <w:rPr>
                  <w:rStyle w:val="InternetLink"/>
                  <w:rFonts w:ascii="Times New Roman;serif" w:hAnsi="Times New Roman;serif"/>
                  <w:b w:val="false"/>
                  <w:strike w:val="false"/>
                  <w:dstrike w:val="false"/>
                  <w:color w:val="000080"/>
                  <w:sz w:val="22"/>
                  <w:u w:val="single"/>
                  <w:effect w:val="none"/>
                </w:rPr>
                <w:t>2.16</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12">
              <w:r>
                <w:rPr>
                  <w:rStyle w:val="InternetLink"/>
                  <w:rFonts w:ascii="Times New Roman;serif" w:hAnsi="Times New Roman;serif"/>
                  <w:b w:val="false"/>
                  <w:strike w:val="false"/>
                  <w:dstrike w:val="false"/>
                  <w:color w:val="000000"/>
                  <w:sz w:val="22"/>
                  <w:u w:val="none"/>
                  <w:effect w:val="none"/>
                </w:rPr>
                <w:t>“Effective Date”</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12">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15">
              <w:r>
                <w:rPr>
                  <w:rStyle w:val="InternetLink"/>
                  <w:rFonts w:ascii="Times New Roman;serif" w:hAnsi="Times New Roman;serif"/>
                  <w:b w:val="false"/>
                  <w:strike w:val="false"/>
                  <w:dstrike w:val="false"/>
                  <w:color w:val="000080"/>
                  <w:sz w:val="22"/>
                  <w:u w:val="single"/>
                  <w:effect w:val="none"/>
                </w:rPr>
                <w:t>2.17</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15">
              <w:r>
                <w:rPr>
                  <w:rStyle w:val="InternetLink"/>
                  <w:rFonts w:ascii="Times New Roman;serif" w:hAnsi="Times New Roman;serif"/>
                  <w:b w:val="false"/>
                  <w:strike w:val="false"/>
                  <w:dstrike w:val="false"/>
                  <w:color w:val="000000"/>
                  <w:sz w:val="22"/>
                  <w:u w:val="none"/>
                  <w:effect w:val="none"/>
                </w:rPr>
                <w:t>“Eligible Individual”</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15">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18">
              <w:r>
                <w:rPr>
                  <w:rStyle w:val="InternetLink"/>
                  <w:rFonts w:ascii="Times New Roman;serif" w:hAnsi="Times New Roman;serif"/>
                  <w:b w:val="false"/>
                  <w:strike w:val="false"/>
                  <w:dstrike w:val="false"/>
                  <w:color w:val="000080"/>
                  <w:sz w:val="22"/>
                  <w:u w:val="single"/>
                  <w:effect w:val="none"/>
                </w:rPr>
                <w:t>2.18</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18">
              <w:r>
                <w:rPr>
                  <w:rStyle w:val="InternetLink"/>
                  <w:rFonts w:ascii="Times New Roman;serif" w:hAnsi="Times New Roman;serif"/>
                  <w:b w:val="false"/>
                  <w:strike w:val="false"/>
                  <w:dstrike w:val="false"/>
                  <w:color w:val="000000"/>
                  <w:sz w:val="22"/>
                  <w:u w:val="none"/>
                  <w:effect w:val="none"/>
                </w:rPr>
                <w:t>“Employee”</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18">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21">
              <w:r>
                <w:rPr>
                  <w:rStyle w:val="InternetLink"/>
                  <w:rFonts w:ascii="Times New Roman;serif" w:hAnsi="Times New Roman;serif"/>
                  <w:b w:val="false"/>
                  <w:strike w:val="false"/>
                  <w:dstrike w:val="false"/>
                  <w:color w:val="000080"/>
                  <w:sz w:val="22"/>
                  <w:u w:val="single"/>
                  <w:effect w:val="none"/>
                </w:rPr>
                <w:t>2.19</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21">
              <w:r>
                <w:rPr>
                  <w:rStyle w:val="InternetLink"/>
                  <w:rFonts w:ascii="Times New Roman;serif" w:hAnsi="Times New Roman;serif"/>
                  <w:b w:val="false"/>
                  <w:strike w:val="false"/>
                  <w:dstrike w:val="false"/>
                  <w:color w:val="000000"/>
                  <w:sz w:val="22"/>
                  <w:u w:val="none"/>
                  <w:effect w:val="none"/>
                </w:rPr>
                <w:t>“Exchange Act”</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21">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24">
              <w:r>
                <w:rPr>
                  <w:rStyle w:val="InternetLink"/>
                  <w:rFonts w:ascii="Times New Roman;serif" w:hAnsi="Times New Roman;serif"/>
                  <w:b w:val="false"/>
                  <w:strike w:val="false"/>
                  <w:dstrike w:val="false"/>
                  <w:color w:val="000080"/>
                  <w:sz w:val="22"/>
                  <w:u w:val="single"/>
                  <w:effect w:val="none"/>
                </w:rPr>
                <w:t>2.20</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24">
              <w:r>
                <w:rPr>
                  <w:rStyle w:val="InternetLink"/>
                  <w:rFonts w:ascii="Times New Roman;serif" w:hAnsi="Times New Roman;serif"/>
                  <w:b w:val="false"/>
                  <w:strike w:val="false"/>
                  <w:dstrike w:val="false"/>
                  <w:color w:val="000000"/>
                  <w:sz w:val="22"/>
                  <w:u w:val="none"/>
                  <w:effect w:val="none"/>
                </w:rPr>
                <w:t>“Expiration Date”</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24">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27">
              <w:r>
                <w:rPr>
                  <w:rStyle w:val="InternetLink"/>
                  <w:rFonts w:ascii="Times New Roman;serif" w:hAnsi="Times New Roman;serif"/>
                  <w:b w:val="false"/>
                  <w:strike w:val="false"/>
                  <w:dstrike w:val="false"/>
                  <w:color w:val="000080"/>
                  <w:sz w:val="22"/>
                  <w:u w:val="single"/>
                  <w:effect w:val="none"/>
                </w:rPr>
                <w:t>2.21</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27">
              <w:r>
                <w:rPr>
                  <w:rStyle w:val="InternetLink"/>
                  <w:rFonts w:ascii="Times New Roman;serif" w:hAnsi="Times New Roman;serif"/>
                  <w:b w:val="false"/>
                  <w:strike w:val="false"/>
                  <w:dstrike w:val="false"/>
                  <w:color w:val="000000"/>
                  <w:sz w:val="22"/>
                  <w:u w:val="none"/>
                  <w:effect w:val="none"/>
                </w:rPr>
                <w:t>“Fair Market Value”</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27">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30">
              <w:r>
                <w:rPr>
                  <w:rStyle w:val="InternetLink"/>
                  <w:rFonts w:ascii="Times New Roman;serif" w:hAnsi="Times New Roman;serif"/>
                  <w:b w:val="false"/>
                  <w:strike w:val="false"/>
                  <w:dstrike w:val="false"/>
                  <w:color w:val="000080"/>
                  <w:sz w:val="22"/>
                  <w:u w:val="single"/>
                  <w:effect w:val="none"/>
                </w:rPr>
                <w:t>2.22</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30">
              <w:r>
                <w:rPr>
                  <w:rStyle w:val="InternetLink"/>
                  <w:rFonts w:ascii="Times New Roman;serif" w:hAnsi="Times New Roman;serif"/>
                  <w:b w:val="false"/>
                  <w:strike w:val="false"/>
                  <w:dstrike w:val="false"/>
                  <w:color w:val="000000"/>
                  <w:sz w:val="22"/>
                  <w:u w:val="none"/>
                  <w:effect w:val="none"/>
                </w:rPr>
                <w:t>“Greater Than 10% Stockholder”</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30">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33">
              <w:r>
                <w:rPr>
                  <w:rStyle w:val="InternetLink"/>
                  <w:rFonts w:ascii="Times New Roman;serif" w:hAnsi="Times New Roman;serif"/>
                  <w:b w:val="false"/>
                  <w:strike w:val="false"/>
                  <w:dstrike w:val="false"/>
                  <w:color w:val="000080"/>
                  <w:sz w:val="22"/>
                  <w:u w:val="single"/>
                  <w:effect w:val="none"/>
                </w:rPr>
                <w:t>2.23</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33">
              <w:r>
                <w:rPr>
                  <w:rStyle w:val="InternetLink"/>
                  <w:rFonts w:ascii="Times New Roman;serif" w:hAnsi="Times New Roman;serif"/>
                  <w:b w:val="false"/>
                  <w:strike w:val="false"/>
                  <w:dstrike w:val="false"/>
                  <w:color w:val="000000"/>
                  <w:sz w:val="22"/>
                  <w:u w:val="none"/>
                  <w:effect w:val="none"/>
                </w:rPr>
                <w:t>“Holder”</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33">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36">
              <w:r>
                <w:rPr>
                  <w:rStyle w:val="InternetLink"/>
                  <w:rFonts w:ascii="Times New Roman;serif" w:hAnsi="Times New Roman;serif"/>
                  <w:b w:val="false"/>
                  <w:strike w:val="false"/>
                  <w:dstrike w:val="false"/>
                  <w:color w:val="000080"/>
                  <w:sz w:val="22"/>
                  <w:u w:val="single"/>
                  <w:effect w:val="none"/>
                </w:rPr>
                <w:t>2.24</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36">
              <w:r>
                <w:rPr>
                  <w:rStyle w:val="InternetLink"/>
                  <w:rFonts w:ascii="Times New Roman;serif" w:hAnsi="Times New Roman;serif"/>
                  <w:b w:val="false"/>
                  <w:strike w:val="false"/>
                  <w:dstrike w:val="false"/>
                  <w:color w:val="000000"/>
                  <w:sz w:val="22"/>
                  <w:u w:val="none"/>
                  <w:effect w:val="none"/>
                </w:rPr>
                <w:t>“Incentive Stock Option”</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36">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39">
              <w:r>
                <w:rPr>
                  <w:rStyle w:val="InternetLink"/>
                  <w:rFonts w:ascii="Times New Roman;serif" w:hAnsi="Times New Roman;serif"/>
                  <w:b w:val="false"/>
                  <w:strike w:val="false"/>
                  <w:dstrike w:val="false"/>
                  <w:color w:val="000080"/>
                  <w:sz w:val="22"/>
                  <w:u w:val="single"/>
                  <w:effect w:val="none"/>
                </w:rPr>
                <w:t>2.25</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39">
              <w:r>
                <w:rPr>
                  <w:rStyle w:val="InternetLink"/>
                  <w:rFonts w:ascii="Times New Roman;serif" w:hAnsi="Times New Roman;serif"/>
                  <w:b w:val="false"/>
                  <w:strike w:val="false"/>
                  <w:dstrike w:val="false"/>
                  <w:color w:val="000000"/>
                  <w:sz w:val="22"/>
                  <w:u w:val="none"/>
                  <w:effect w:val="none"/>
                </w:rPr>
                <w:t>“Misconduct”</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39">
              <w:r>
                <w:rPr>
                  <w:rStyle w:val="InternetLink"/>
                  <w:rFonts w:ascii="Times New Roman;serif" w:hAnsi="Times New Roman;serif"/>
                  <w:b w:val="false"/>
                  <w:strike w:val="false"/>
                  <w:dstrike w:val="false"/>
                  <w:color w:val="000000"/>
                  <w:sz w:val="22"/>
                  <w:u w:val="none"/>
                  <w:effect w:val="none"/>
                </w:rPr>
                <w:t>7</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42">
              <w:r>
                <w:rPr>
                  <w:rStyle w:val="InternetLink"/>
                  <w:rFonts w:ascii="Times New Roman;serif" w:hAnsi="Times New Roman;serif"/>
                  <w:b w:val="false"/>
                  <w:strike w:val="false"/>
                  <w:dstrike w:val="false"/>
                  <w:color w:val="000080"/>
                  <w:sz w:val="22"/>
                  <w:u w:val="single"/>
                  <w:effect w:val="none"/>
                </w:rPr>
                <w:t>2.26</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42">
              <w:r>
                <w:rPr>
                  <w:rStyle w:val="InternetLink"/>
                  <w:rFonts w:ascii="Times New Roman;serif" w:hAnsi="Times New Roman;serif"/>
                  <w:b w:val="false"/>
                  <w:strike w:val="false"/>
                  <w:dstrike w:val="false"/>
                  <w:color w:val="000000"/>
                  <w:sz w:val="22"/>
                  <w:u w:val="none"/>
                  <w:effect w:val="none"/>
                </w:rPr>
                <w:t>“Non-Employee Director”</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42">
              <w:r>
                <w:rPr>
                  <w:rStyle w:val="InternetLink"/>
                  <w:rFonts w:ascii="Times New Roman;serif" w:hAnsi="Times New Roman;serif"/>
                  <w:b w:val="false"/>
                  <w:strike w:val="false"/>
                  <w:dstrike w:val="false"/>
                  <w:color w:val="000000"/>
                  <w:sz w:val="22"/>
                  <w:u w:val="none"/>
                  <w:effect w:val="none"/>
                </w:rPr>
                <w:t>8</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45">
              <w:r>
                <w:rPr>
                  <w:rStyle w:val="InternetLink"/>
                  <w:rFonts w:ascii="Times New Roman;serif" w:hAnsi="Times New Roman;serif"/>
                  <w:b w:val="false"/>
                  <w:strike w:val="false"/>
                  <w:dstrike w:val="false"/>
                  <w:color w:val="000080"/>
                  <w:sz w:val="22"/>
                  <w:u w:val="single"/>
                  <w:effect w:val="none"/>
                </w:rPr>
                <w:t>2.27</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45">
              <w:r>
                <w:rPr>
                  <w:rStyle w:val="InternetLink"/>
                  <w:rFonts w:ascii="Times New Roman;serif" w:hAnsi="Times New Roman;serif"/>
                  <w:b w:val="false"/>
                  <w:strike w:val="false"/>
                  <w:dstrike w:val="false"/>
                  <w:color w:val="000000"/>
                  <w:sz w:val="22"/>
                  <w:u w:val="none"/>
                  <w:effect w:val="none"/>
                </w:rPr>
                <w:t>“Non-Employee Director Compensation Policy”</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45">
              <w:r>
                <w:rPr>
                  <w:rStyle w:val="InternetLink"/>
                  <w:rFonts w:ascii="Times New Roman;serif" w:hAnsi="Times New Roman;serif"/>
                  <w:b w:val="false"/>
                  <w:strike w:val="false"/>
                  <w:dstrike w:val="false"/>
                  <w:color w:val="000000"/>
                  <w:sz w:val="22"/>
                  <w:u w:val="none"/>
                  <w:effect w:val="none"/>
                </w:rPr>
                <w:t>8</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48">
              <w:r>
                <w:rPr>
                  <w:rStyle w:val="InternetLink"/>
                  <w:rFonts w:ascii="Times New Roman;serif" w:hAnsi="Times New Roman;serif"/>
                  <w:b w:val="false"/>
                  <w:strike w:val="false"/>
                  <w:dstrike w:val="false"/>
                  <w:color w:val="000080"/>
                  <w:sz w:val="22"/>
                  <w:u w:val="single"/>
                  <w:effect w:val="none"/>
                </w:rPr>
                <w:t>2.28</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48">
              <w:r>
                <w:rPr>
                  <w:rStyle w:val="InternetLink"/>
                  <w:rFonts w:ascii="Times New Roman;serif" w:hAnsi="Times New Roman;serif"/>
                  <w:b w:val="false"/>
                  <w:strike w:val="false"/>
                  <w:dstrike w:val="false"/>
                  <w:color w:val="000000"/>
                  <w:sz w:val="22"/>
                  <w:u w:val="none"/>
                  <w:effect w:val="none"/>
                </w:rPr>
                <w:t>“Non-Qualified Stock Option”</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48">
              <w:r>
                <w:rPr>
                  <w:rStyle w:val="InternetLink"/>
                  <w:rFonts w:ascii="Times New Roman;serif" w:hAnsi="Times New Roman;serif"/>
                  <w:b w:val="false"/>
                  <w:strike w:val="false"/>
                  <w:dstrike w:val="false"/>
                  <w:color w:val="000000"/>
                  <w:sz w:val="22"/>
                  <w:u w:val="none"/>
                  <w:effect w:val="none"/>
                </w:rPr>
                <w:t>8</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51">
              <w:r>
                <w:rPr>
                  <w:rStyle w:val="InternetLink"/>
                  <w:rFonts w:ascii="Times New Roman;serif" w:hAnsi="Times New Roman;serif"/>
                  <w:b w:val="false"/>
                  <w:strike w:val="false"/>
                  <w:dstrike w:val="false"/>
                  <w:color w:val="000080"/>
                  <w:sz w:val="22"/>
                  <w:u w:val="single"/>
                  <w:effect w:val="none"/>
                </w:rPr>
                <w:t>2.29</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51">
              <w:r>
                <w:rPr>
                  <w:rStyle w:val="InternetLink"/>
                  <w:rFonts w:ascii="Times New Roman;serif" w:hAnsi="Times New Roman;serif"/>
                  <w:b w:val="false"/>
                  <w:strike w:val="false"/>
                  <w:dstrike w:val="false"/>
                  <w:color w:val="000000"/>
                  <w:sz w:val="22"/>
                  <w:u w:val="none"/>
                  <w:effect w:val="none"/>
                </w:rPr>
                <w:t>“Option”</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51">
              <w:r>
                <w:rPr>
                  <w:rStyle w:val="InternetLink"/>
                  <w:rFonts w:ascii="Times New Roman;serif" w:hAnsi="Times New Roman;serif"/>
                  <w:b w:val="false"/>
                  <w:strike w:val="false"/>
                  <w:dstrike w:val="false"/>
                  <w:color w:val="000000"/>
                  <w:sz w:val="22"/>
                  <w:u w:val="none"/>
                  <w:effect w:val="none"/>
                </w:rPr>
                <w:t>8</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54">
              <w:r>
                <w:rPr>
                  <w:rStyle w:val="InternetLink"/>
                  <w:rFonts w:ascii="Times New Roman;serif" w:hAnsi="Times New Roman;serif"/>
                  <w:b w:val="false"/>
                  <w:strike w:val="false"/>
                  <w:dstrike w:val="false"/>
                  <w:color w:val="000080"/>
                  <w:sz w:val="22"/>
                  <w:u w:val="single"/>
                  <w:effect w:val="none"/>
                </w:rPr>
                <w:t>2.30</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xml:space="preserve">     </w:t>
              </w:r>
            </w:hyperlink>
            <w:hyperlink w:anchor="i50ea0bd09601496c8a5cce63b3187193_154">
              <w:r>
                <w:rPr>
                  <w:rStyle w:val="InternetLink"/>
                  <w:rFonts w:ascii="Times New Roman;serif" w:hAnsi="Times New Roman;serif"/>
                  <w:b w:val="false"/>
                  <w:strike w:val="false"/>
                  <w:dstrike w:val="false"/>
                  <w:color w:val="000080"/>
                  <w:sz w:val="22"/>
                  <w:u w:val="single"/>
                  <w:effect w:val="none"/>
                </w:rPr>
                <w:t>“Option Term”</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54">
              <w:r>
                <w:rPr>
                  <w:rStyle w:val="InternetLink"/>
                  <w:rFonts w:ascii="Times New Roman;serif" w:hAnsi="Times New Roman;serif"/>
                  <w:b w:val="false"/>
                  <w:strike w:val="false"/>
                  <w:dstrike w:val="false"/>
                  <w:color w:val="000000"/>
                  <w:sz w:val="22"/>
                  <w:u w:val="none"/>
                  <w:effect w:val="none"/>
                </w:rPr>
                <w:t>8</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57">
              <w:r>
                <w:rPr>
                  <w:rStyle w:val="InternetLink"/>
                  <w:rFonts w:ascii="Times New Roman;serif" w:hAnsi="Times New Roman;serif"/>
                  <w:b w:val="false"/>
                  <w:strike w:val="false"/>
                  <w:dstrike w:val="false"/>
                  <w:color w:val="000080"/>
                  <w:sz w:val="22"/>
                  <w:u w:val="single"/>
                  <w:effect w:val="none"/>
                </w:rPr>
                <w:t>2.31</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57">
              <w:r>
                <w:rPr>
                  <w:rStyle w:val="InternetLink"/>
                  <w:rFonts w:ascii="Times New Roman;serif" w:hAnsi="Times New Roman;serif"/>
                  <w:b w:val="false"/>
                  <w:strike w:val="false"/>
                  <w:dstrike w:val="false"/>
                  <w:color w:val="000000"/>
                  <w:sz w:val="22"/>
                  <w:u w:val="none"/>
                  <w:effect w:val="none"/>
                </w:rPr>
                <w:t>“Performance Award”</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57">
              <w:r>
                <w:rPr>
                  <w:rStyle w:val="InternetLink"/>
                  <w:rFonts w:ascii="Times New Roman;serif" w:hAnsi="Times New Roman;serif"/>
                  <w:b w:val="false"/>
                  <w:strike w:val="false"/>
                  <w:dstrike w:val="false"/>
                  <w:color w:val="000000"/>
                  <w:sz w:val="22"/>
                  <w:u w:val="none"/>
                  <w:effect w:val="none"/>
                </w:rPr>
                <w:t>8</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60">
              <w:r>
                <w:rPr>
                  <w:rStyle w:val="InternetLink"/>
                  <w:rFonts w:ascii="Times New Roman;serif" w:hAnsi="Times New Roman;serif"/>
                  <w:b w:val="false"/>
                  <w:strike w:val="false"/>
                  <w:dstrike w:val="false"/>
                  <w:color w:val="000080"/>
                  <w:sz w:val="22"/>
                  <w:u w:val="single"/>
                  <w:effect w:val="none"/>
                </w:rPr>
                <w:t>2.32</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60">
              <w:r>
                <w:rPr>
                  <w:rStyle w:val="InternetLink"/>
                  <w:rFonts w:ascii="Times New Roman;serif" w:hAnsi="Times New Roman;serif"/>
                  <w:b w:val="false"/>
                  <w:strike w:val="false"/>
                  <w:dstrike w:val="false"/>
                  <w:color w:val="000000"/>
                  <w:sz w:val="22"/>
                  <w:u w:val="none"/>
                  <w:effect w:val="none"/>
                </w:rPr>
                <w:t>“Performance Criteria”</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60">
              <w:r>
                <w:rPr>
                  <w:rStyle w:val="InternetLink"/>
                  <w:rFonts w:ascii="Times New Roman;serif" w:hAnsi="Times New Roman;serif"/>
                  <w:b w:val="false"/>
                  <w:strike w:val="false"/>
                  <w:dstrike w:val="false"/>
                  <w:color w:val="000000"/>
                  <w:sz w:val="22"/>
                  <w:u w:val="none"/>
                  <w:effect w:val="none"/>
                </w:rPr>
                <w:t>8</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63">
              <w:r>
                <w:rPr>
                  <w:rStyle w:val="InternetLink"/>
                  <w:rFonts w:ascii="Times New Roman;serif" w:hAnsi="Times New Roman;serif"/>
                  <w:b w:val="false"/>
                  <w:strike w:val="false"/>
                  <w:dstrike w:val="false"/>
                  <w:color w:val="000080"/>
                  <w:sz w:val="22"/>
                  <w:u w:val="single"/>
                  <w:effect w:val="none"/>
                </w:rPr>
                <w:t>2.33</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63">
              <w:r>
                <w:rPr>
                  <w:rStyle w:val="InternetLink"/>
                  <w:rFonts w:ascii="Times New Roman;serif" w:hAnsi="Times New Roman;serif"/>
                  <w:b w:val="false"/>
                  <w:strike w:val="false"/>
                  <w:dstrike w:val="false"/>
                  <w:color w:val="000000"/>
                  <w:sz w:val="22"/>
                  <w:u w:val="none"/>
                  <w:effect w:val="none"/>
                </w:rPr>
                <w:t>“Performance Period”</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63">
              <w:r>
                <w:rPr>
                  <w:rStyle w:val="InternetLink"/>
                  <w:rFonts w:ascii="Times New Roman;serif" w:hAnsi="Times New Roman;serif"/>
                  <w:b w:val="false"/>
                  <w:strike w:val="false"/>
                  <w:dstrike w:val="false"/>
                  <w:color w:val="000000"/>
                  <w:sz w:val="22"/>
                  <w:u w:val="none"/>
                  <w:effect w:val="none"/>
                </w:rPr>
                <w:t>9</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66">
              <w:r>
                <w:rPr>
                  <w:rStyle w:val="InternetLink"/>
                  <w:rFonts w:ascii="Times New Roman;serif" w:hAnsi="Times New Roman;serif"/>
                  <w:b w:val="false"/>
                  <w:strike w:val="false"/>
                  <w:dstrike w:val="false"/>
                  <w:color w:val="000080"/>
                  <w:sz w:val="22"/>
                  <w:u w:val="single"/>
                  <w:effect w:val="none"/>
                </w:rPr>
                <w:t>2.34</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66">
              <w:r>
                <w:rPr>
                  <w:rStyle w:val="InternetLink"/>
                  <w:rFonts w:ascii="Times New Roman;serif" w:hAnsi="Times New Roman;serif"/>
                  <w:b w:val="false"/>
                  <w:strike w:val="false"/>
                  <w:dstrike w:val="false"/>
                  <w:color w:val="000000"/>
                  <w:sz w:val="22"/>
                  <w:u w:val="none"/>
                  <w:effect w:val="none"/>
                </w:rPr>
                <w:t>“Performance Stock Unit”</w:t>
              </w:r>
            </w:hyperlink>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66">
              <w:r>
                <w:rPr>
                  <w:rStyle w:val="InternetLink"/>
                  <w:rFonts w:ascii="Times New Roman;serif" w:hAnsi="Times New Roman;serif"/>
                  <w:b w:val="false"/>
                  <w:strike w:val="false"/>
                  <w:dstrike w:val="false"/>
                  <w:color w:val="000000"/>
                  <w:sz w:val="22"/>
                  <w:u w:val="none"/>
                  <w:effect w:val="none"/>
                </w:rPr>
                <w:t>9</w:t>
              </w:r>
            </w:hyperlink>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tbl>
      <w:tblPr>
        <w:tblW w:w="5536" w:type="dxa"/>
        <w:jc w:val="left"/>
        <w:tblInd w:w="0" w:type="dxa"/>
        <w:tblLayout w:type="fixed"/>
        <w:tblCellMar>
          <w:top w:w="28" w:type="dxa"/>
          <w:left w:w="28" w:type="dxa"/>
          <w:bottom w:w="28" w:type="dxa"/>
          <w:right w:w="28" w:type="dxa"/>
        </w:tblCellMar>
      </w:tblPr>
      <w:tblGrid>
        <w:gridCol w:w="1862"/>
        <w:gridCol w:w="1638"/>
        <w:gridCol w:w="1645"/>
        <w:gridCol w:w="114"/>
        <w:gridCol w:w="114"/>
        <w:gridCol w:w="163"/>
      </w:tblGrid>
      <w:tr>
        <w:trPr/>
        <w:tc>
          <w:tcPr>
            <w:tcW w:w="186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69">
              <w:r>
                <w:rPr>
                  <w:rStyle w:val="InternetLink"/>
                  <w:rFonts w:ascii="Times New Roman;serif" w:hAnsi="Times New Roman;serif"/>
                  <w:b w:val="false"/>
                  <w:strike w:val="false"/>
                  <w:dstrike w:val="false"/>
                  <w:color w:val="000080"/>
                  <w:sz w:val="22"/>
                  <w:u w:val="single"/>
                  <w:effect w:val="none"/>
                </w:rPr>
                <w:t>2.35</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69">
              <w:r>
                <w:rPr>
                  <w:rStyle w:val="InternetLink"/>
                  <w:rFonts w:ascii="Times New Roman;serif" w:hAnsi="Times New Roman;serif"/>
                  <w:b w:val="false"/>
                  <w:strike w:val="false"/>
                  <w:dstrike w:val="false"/>
                  <w:color w:val="000000"/>
                  <w:sz w:val="22"/>
                  <w:u w:val="none"/>
                  <w:effect w:val="none"/>
                </w:rPr>
                <w:t>“Permitted Transferee”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69">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72">
              <w:r>
                <w:rPr>
                  <w:rStyle w:val="InternetLink"/>
                  <w:rFonts w:ascii="Times New Roman;serif" w:hAnsi="Times New Roman;serif"/>
                  <w:b w:val="false"/>
                  <w:strike w:val="false"/>
                  <w:dstrike w:val="false"/>
                  <w:color w:val="000080"/>
                  <w:sz w:val="22"/>
                  <w:u w:val="single"/>
                  <w:effect w:val="none"/>
                </w:rPr>
                <w:t>2.36</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72">
              <w:r>
                <w:rPr>
                  <w:rStyle w:val="InternetLink"/>
                  <w:rFonts w:ascii="Times New Roman;serif" w:hAnsi="Times New Roman;serif"/>
                  <w:b w:val="false"/>
                  <w:strike w:val="false"/>
                  <w:dstrike w:val="false"/>
                  <w:color w:val="000000"/>
                  <w:sz w:val="22"/>
                  <w:u w:val="none"/>
                  <w:effect w:val="none"/>
                </w:rPr>
                <w:t>“Plan”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72">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75">
              <w:r>
                <w:rPr>
                  <w:rStyle w:val="InternetLink"/>
                  <w:rFonts w:ascii="Times New Roman;serif" w:hAnsi="Times New Roman;serif"/>
                  <w:b w:val="false"/>
                  <w:strike w:val="false"/>
                  <w:dstrike w:val="false"/>
                  <w:color w:val="000080"/>
                  <w:sz w:val="22"/>
                  <w:u w:val="single"/>
                  <w:effect w:val="none"/>
                </w:rPr>
                <w:t>2.37</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75">
              <w:r>
                <w:rPr>
                  <w:rStyle w:val="InternetLink"/>
                  <w:rFonts w:ascii="Times New Roman;serif" w:hAnsi="Times New Roman;serif"/>
                  <w:b w:val="false"/>
                  <w:strike w:val="false"/>
                  <w:dstrike w:val="false"/>
                  <w:color w:val="000000"/>
                  <w:sz w:val="22"/>
                  <w:u w:val="none"/>
                  <w:effect w:val="none"/>
                </w:rPr>
                <w:t>“Prior Plan”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75">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78">
              <w:r>
                <w:rPr>
                  <w:rStyle w:val="InternetLink"/>
                  <w:rFonts w:ascii="Times New Roman;serif" w:hAnsi="Times New Roman;serif"/>
                  <w:b w:val="false"/>
                  <w:strike w:val="false"/>
                  <w:dstrike w:val="false"/>
                  <w:color w:val="000080"/>
                  <w:sz w:val="22"/>
                  <w:u w:val="single"/>
                  <w:effect w:val="none"/>
                </w:rPr>
                <w:t>2.38</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178">
              <w:r>
                <w:rPr>
                  <w:rStyle w:val="InternetLink"/>
                  <w:rFonts w:ascii="Times New Roman;serif" w:hAnsi="Times New Roman;serif"/>
                  <w:b w:val="false"/>
                  <w:strike w:val="false"/>
                  <w:dstrike w:val="false"/>
                  <w:color w:val="000080"/>
                  <w:sz w:val="22"/>
                  <w:u w:val="single"/>
                  <w:effect w:val="none"/>
                </w:rPr>
                <w:t>“Prior Plan Award”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78">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81">
              <w:r>
                <w:rPr>
                  <w:rStyle w:val="InternetLink"/>
                  <w:rFonts w:ascii="Times New Roman;serif" w:hAnsi="Times New Roman;serif"/>
                  <w:b w:val="false"/>
                  <w:strike w:val="false"/>
                  <w:dstrike w:val="false"/>
                  <w:color w:val="000080"/>
                  <w:sz w:val="22"/>
                  <w:u w:val="single"/>
                  <w:effect w:val="none"/>
                </w:rPr>
                <w:t>2.39</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181">
              <w:r>
                <w:rPr>
                  <w:rStyle w:val="InternetLink"/>
                  <w:rFonts w:ascii="Times New Roman;serif" w:hAnsi="Times New Roman;serif"/>
                  <w:b w:val="false"/>
                  <w:strike w:val="false"/>
                  <w:dstrike w:val="false"/>
                  <w:color w:val="000080"/>
                  <w:sz w:val="22"/>
                  <w:u w:val="single"/>
                  <w:effect w:val="none"/>
                </w:rPr>
                <w:t>“Restricted Stock”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81">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84">
              <w:r>
                <w:rPr>
                  <w:rStyle w:val="InternetLink"/>
                  <w:rFonts w:ascii="Times New Roman;serif" w:hAnsi="Times New Roman;serif"/>
                  <w:b w:val="false"/>
                  <w:strike w:val="false"/>
                  <w:dstrike w:val="false"/>
                  <w:color w:val="000080"/>
                  <w:sz w:val="22"/>
                  <w:u w:val="single"/>
                  <w:effect w:val="none"/>
                </w:rPr>
                <w:t>2.40</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84">
              <w:r>
                <w:rPr>
                  <w:rStyle w:val="InternetLink"/>
                  <w:rFonts w:ascii="Times New Roman;serif" w:hAnsi="Times New Roman;serif"/>
                  <w:b w:val="false"/>
                  <w:strike w:val="false"/>
                  <w:dstrike w:val="false"/>
                  <w:color w:val="000000"/>
                  <w:sz w:val="22"/>
                  <w:u w:val="none"/>
                  <w:effect w:val="none"/>
                </w:rPr>
                <w:t>“Restricted Stock Units”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84">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87">
              <w:r>
                <w:rPr>
                  <w:rStyle w:val="InternetLink"/>
                  <w:rFonts w:ascii="Times New Roman;serif" w:hAnsi="Times New Roman;serif"/>
                  <w:b w:val="false"/>
                  <w:strike w:val="false"/>
                  <w:dstrike w:val="false"/>
                  <w:color w:val="000080"/>
                  <w:sz w:val="22"/>
                  <w:u w:val="single"/>
                  <w:effect w:val="none"/>
                </w:rPr>
                <w:t>2.41</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87">
              <w:r>
                <w:rPr>
                  <w:rStyle w:val="InternetLink"/>
                  <w:rFonts w:ascii="Times New Roman;serif" w:hAnsi="Times New Roman;serif"/>
                  <w:b w:val="false"/>
                  <w:strike w:val="false"/>
                  <w:dstrike w:val="false"/>
                  <w:color w:val="000000"/>
                  <w:sz w:val="22"/>
                  <w:u w:val="none"/>
                  <w:effect w:val="none"/>
                </w:rPr>
                <w:t>“Securities Act”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87">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90">
              <w:r>
                <w:rPr>
                  <w:rStyle w:val="InternetLink"/>
                  <w:rFonts w:ascii="Times New Roman;serif" w:hAnsi="Times New Roman;serif"/>
                  <w:b w:val="false"/>
                  <w:strike w:val="false"/>
                  <w:dstrike w:val="false"/>
                  <w:color w:val="000080"/>
                  <w:sz w:val="22"/>
                  <w:u w:val="single"/>
                  <w:effect w:val="none"/>
                </w:rPr>
                <w:t>2.42</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90">
              <w:r>
                <w:rPr>
                  <w:rStyle w:val="InternetLink"/>
                  <w:rFonts w:ascii="Times New Roman;serif" w:hAnsi="Times New Roman;serif"/>
                  <w:b w:val="false"/>
                  <w:strike w:val="false"/>
                  <w:dstrike w:val="false"/>
                  <w:color w:val="000000"/>
                  <w:sz w:val="22"/>
                  <w:u w:val="none"/>
                  <w:effect w:val="none"/>
                </w:rPr>
                <w:t>“Shares”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90">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93">
              <w:r>
                <w:rPr>
                  <w:rStyle w:val="InternetLink"/>
                  <w:rFonts w:ascii="Times New Roman;serif" w:hAnsi="Times New Roman;serif"/>
                  <w:b w:val="false"/>
                  <w:strike w:val="false"/>
                  <w:dstrike w:val="false"/>
                  <w:color w:val="000080"/>
                  <w:sz w:val="22"/>
                  <w:u w:val="single"/>
                  <w:effect w:val="none"/>
                </w:rPr>
                <w:t>2.43</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93">
              <w:r>
                <w:rPr>
                  <w:rStyle w:val="InternetLink"/>
                  <w:rFonts w:ascii="Times New Roman;serif" w:hAnsi="Times New Roman;serif"/>
                  <w:b w:val="false"/>
                  <w:strike w:val="false"/>
                  <w:dstrike w:val="false"/>
                  <w:color w:val="000000"/>
                  <w:sz w:val="22"/>
                  <w:u w:val="none"/>
                  <w:effect w:val="none"/>
                </w:rPr>
                <w:t>“Stock Appreciation Right”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93">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96">
              <w:r>
                <w:rPr>
                  <w:rStyle w:val="InternetLink"/>
                  <w:rFonts w:ascii="Times New Roman;serif" w:hAnsi="Times New Roman;serif"/>
                  <w:b w:val="false"/>
                  <w:strike w:val="false"/>
                  <w:dstrike w:val="false"/>
                  <w:color w:val="000080"/>
                  <w:sz w:val="22"/>
                  <w:u w:val="single"/>
                  <w:effect w:val="none"/>
                </w:rPr>
                <w:t>2.44</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96">
              <w:r>
                <w:rPr>
                  <w:rStyle w:val="InternetLink"/>
                  <w:rFonts w:ascii="Times New Roman;serif" w:hAnsi="Times New Roman;serif"/>
                  <w:b w:val="false"/>
                  <w:strike w:val="false"/>
                  <w:dstrike w:val="false"/>
                  <w:color w:val="000000"/>
                  <w:sz w:val="22"/>
                  <w:u w:val="none"/>
                  <w:effect w:val="none"/>
                </w:rPr>
                <w:t>“Stock Appreciation Right Term”</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96">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199">
              <w:r>
                <w:rPr>
                  <w:rStyle w:val="InternetLink"/>
                  <w:rFonts w:ascii="Times New Roman;serif" w:hAnsi="Times New Roman;serif"/>
                  <w:b w:val="false"/>
                  <w:strike w:val="false"/>
                  <w:dstrike w:val="false"/>
                  <w:color w:val="000080"/>
                  <w:sz w:val="22"/>
                  <w:u w:val="single"/>
                  <w:effect w:val="none"/>
                </w:rPr>
                <w:t>2.45</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199">
              <w:r>
                <w:rPr>
                  <w:rStyle w:val="InternetLink"/>
                  <w:rFonts w:ascii="Times New Roman;serif" w:hAnsi="Times New Roman;serif"/>
                  <w:b w:val="false"/>
                  <w:strike w:val="false"/>
                  <w:dstrike w:val="false"/>
                  <w:color w:val="000000"/>
                  <w:sz w:val="22"/>
                  <w:u w:val="none"/>
                  <w:effect w:val="none"/>
                </w:rPr>
                <w:t>“Stock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199">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02">
              <w:r>
                <w:rPr>
                  <w:rStyle w:val="InternetLink"/>
                  <w:rFonts w:ascii="Times New Roman;serif" w:hAnsi="Times New Roman;serif"/>
                  <w:b w:val="false"/>
                  <w:strike w:val="false"/>
                  <w:dstrike w:val="false"/>
                  <w:color w:val="000080"/>
                  <w:sz w:val="22"/>
                  <w:u w:val="single"/>
                  <w:effect w:val="none"/>
                </w:rPr>
                <w:t>2.46</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202">
              <w:r>
                <w:rPr>
                  <w:rStyle w:val="InternetLink"/>
                  <w:rFonts w:ascii="Times New Roman;serif" w:hAnsi="Times New Roman;serif"/>
                  <w:b w:val="false"/>
                  <w:strike w:val="false"/>
                  <w:dstrike w:val="false"/>
                  <w:color w:val="000000"/>
                  <w:sz w:val="22"/>
                  <w:u w:val="none"/>
                  <w:effect w:val="none"/>
                </w:rPr>
                <w:t>“Subsidiary”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02">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05">
              <w:r>
                <w:rPr>
                  <w:rStyle w:val="InternetLink"/>
                  <w:rFonts w:ascii="Times New Roman;serif" w:hAnsi="Times New Roman;serif"/>
                  <w:b w:val="false"/>
                  <w:strike w:val="false"/>
                  <w:dstrike w:val="false"/>
                  <w:color w:val="000080"/>
                  <w:sz w:val="22"/>
                  <w:u w:val="single"/>
                  <w:effect w:val="none"/>
                </w:rPr>
                <w:t>2.47</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205">
              <w:r>
                <w:rPr>
                  <w:rStyle w:val="InternetLink"/>
                  <w:rFonts w:ascii="Times New Roman;serif" w:hAnsi="Times New Roman;serif"/>
                  <w:b w:val="false"/>
                  <w:strike w:val="false"/>
                  <w:dstrike w:val="false"/>
                  <w:color w:val="000000"/>
                  <w:sz w:val="22"/>
                  <w:u w:val="none"/>
                  <w:effect w:val="none"/>
                </w:rPr>
                <w:t>“Substitute Award”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05">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08">
              <w:r>
                <w:rPr>
                  <w:rStyle w:val="InternetLink"/>
                  <w:rFonts w:ascii="Times New Roman;serif" w:hAnsi="Times New Roman;serif"/>
                  <w:b w:val="false"/>
                  <w:strike w:val="false"/>
                  <w:dstrike w:val="false"/>
                  <w:color w:val="000080"/>
                  <w:sz w:val="22"/>
                  <w:u w:val="single"/>
                  <w:effect w:val="none"/>
                </w:rPr>
                <w:t>2.48</w:t>
              </w:r>
            </w:hyperlink>
            <w:hyperlink w:anchor="i50ea0bd09601496c8a5cce63b3187193_67">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208">
              <w:r>
                <w:rPr>
                  <w:rStyle w:val="InternetLink"/>
                  <w:rFonts w:ascii="Times New Roman;serif" w:hAnsi="Times New Roman;serif"/>
                  <w:b w:val="false"/>
                  <w:strike w:val="false"/>
                  <w:dstrike w:val="false"/>
                  <w:color w:val="000000"/>
                  <w:sz w:val="22"/>
                  <w:u w:val="none"/>
                  <w:effect w:val="none"/>
                </w:rPr>
                <w:t>“Termination of Service”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08">
              <w:r>
                <w:rPr>
                  <w:rStyle w:val="InternetLink"/>
                  <w:rFonts w:ascii="Times New Roman;serif" w:hAnsi="Times New Roman;serif"/>
                  <w:b w:val="false"/>
                  <w:strike w:val="false"/>
                  <w:dstrike w:val="false"/>
                  <w:color w:val="000000"/>
                  <w:sz w:val="22"/>
                  <w:u w:val="none"/>
                  <w:effect w:val="none"/>
                </w:rPr>
                <w:t>9</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11">
              <w:r>
                <w:rPr>
                  <w:rStyle w:val="InternetLink"/>
                  <w:rFonts w:ascii="Times New Roman;serif" w:hAnsi="Times New Roman;serif"/>
                  <w:b w:val="false"/>
                  <w:strike w:val="false"/>
                  <w:dstrike w:val="false"/>
                  <w:color w:val="000080"/>
                  <w:sz w:val="22"/>
                  <w:u w:val="single"/>
                  <w:effect w:val="none"/>
                </w:rPr>
                <w:t>ARTICLE 3.</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r>
              <w:rPr>
                <w:rFonts w:ascii="Times New Roman;serif" w:hAnsi="Times New Roman;serif"/>
                <w:b w:val="false"/>
                <w:color w:val="000000"/>
                <w:sz w:val="22"/>
              </w:rPr>
              <w:t xml:space="preserve"> </w:t>
            </w:r>
            <w:hyperlink w:anchor="i50ea0bd09601496c8a5cce63b3187193_211">
              <w:r>
                <w:rPr>
                  <w:rStyle w:val="InternetLink"/>
                  <w:rFonts w:ascii="Times New Roman;serif" w:hAnsi="Times New Roman;serif"/>
                  <w:b w:val="false"/>
                  <w:strike w:val="false"/>
                  <w:dstrike w:val="false"/>
                  <w:color w:val="000000"/>
                  <w:sz w:val="22"/>
                  <w:u w:val="none"/>
                  <w:effect w:val="none"/>
                </w:rPr>
                <w:t>SHARES SUBJECT TO THE PLAN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11">
              <w:r>
                <w:rPr>
                  <w:rStyle w:val="InternetLink"/>
                  <w:rFonts w:ascii="Times New Roman;serif" w:hAnsi="Times New Roman;serif"/>
                  <w:b w:val="false"/>
                  <w:strike w:val="false"/>
                  <w:dstrike w:val="false"/>
                  <w:color w:val="000000"/>
                  <w:sz w:val="22"/>
                  <w:u w:val="none"/>
                  <w:effect w:val="none"/>
                </w:rPr>
                <w:t>10</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14">
              <w:r>
                <w:rPr>
                  <w:rStyle w:val="InternetLink"/>
                  <w:rFonts w:ascii="Times New Roman;serif" w:hAnsi="Times New Roman;serif"/>
                  <w:b w:val="false"/>
                  <w:strike w:val="false"/>
                  <w:dstrike w:val="false"/>
                  <w:color w:val="000000"/>
                  <w:sz w:val="22"/>
                  <w:u w:val="none"/>
                  <w:effect w:val="none"/>
                </w:rPr>
                <w:t>3.1        Number of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14">
              <w:r>
                <w:rPr>
                  <w:rStyle w:val="InternetLink"/>
                  <w:rFonts w:ascii="Times New Roman;serif" w:hAnsi="Times New Roman;serif"/>
                  <w:b w:val="false"/>
                  <w:strike w:val="false"/>
                  <w:dstrike w:val="false"/>
                  <w:color w:val="000000"/>
                  <w:sz w:val="22"/>
                  <w:u w:val="none"/>
                  <w:effect w:val="none"/>
                </w:rPr>
                <w:t>10</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17">
              <w:r>
                <w:rPr>
                  <w:rStyle w:val="InternetLink"/>
                  <w:rFonts w:ascii="Times New Roman;serif" w:hAnsi="Times New Roman;serif"/>
                  <w:b w:val="false"/>
                  <w:strike w:val="false"/>
                  <w:dstrike w:val="false"/>
                  <w:color w:val="000000"/>
                  <w:sz w:val="22"/>
                  <w:u w:val="none"/>
                  <w:effect w:val="none"/>
                </w:rPr>
                <w:t>3.2        Stock Distributed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17">
              <w:r>
                <w:rPr>
                  <w:rStyle w:val="InternetLink"/>
                  <w:rFonts w:ascii="Times New Roman;serif" w:hAnsi="Times New Roman;serif"/>
                  <w:b w:val="false"/>
                  <w:strike w:val="false"/>
                  <w:dstrike w:val="false"/>
                  <w:color w:val="000000"/>
                  <w:sz w:val="22"/>
                  <w:u w:val="none"/>
                  <w:effect w:val="none"/>
                </w:rPr>
                <w:t>11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23">
              <w:r>
                <w:rPr>
                  <w:rStyle w:val="InternetLink"/>
                  <w:rFonts w:ascii="Times New Roman;serif" w:hAnsi="Times New Roman;serif"/>
                  <w:b w:val="false"/>
                  <w:strike w:val="false"/>
                  <w:dstrike w:val="false"/>
                  <w:color w:val="000080"/>
                  <w:sz w:val="22"/>
                  <w:u w:val="single"/>
                  <w:effect w:val="none"/>
                </w:rPr>
                <w:t>ARTICLE 4.</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223">
              <w:r>
                <w:rPr>
                  <w:rStyle w:val="InternetLink"/>
                  <w:rFonts w:ascii="Times New Roman;serif" w:hAnsi="Times New Roman;serif"/>
                  <w:b w:val="false"/>
                  <w:strike w:val="false"/>
                  <w:dstrike w:val="false"/>
                  <w:color w:val="000080"/>
                  <w:sz w:val="22"/>
                  <w:u w:val="single"/>
                  <w:effect w:val="none"/>
                </w:rPr>
                <w:t>GRANTING OF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23">
              <w:r>
                <w:rPr>
                  <w:rStyle w:val="InternetLink"/>
                  <w:rFonts w:ascii="Times New Roman;serif" w:hAnsi="Times New Roman;serif"/>
                  <w:b w:val="false"/>
                  <w:strike w:val="false"/>
                  <w:dstrike w:val="false"/>
                  <w:color w:val="000000"/>
                  <w:sz w:val="22"/>
                  <w:u w:val="none"/>
                  <w:effect w:val="none"/>
                </w:rPr>
                <w:t>11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26">
              <w:r>
                <w:rPr>
                  <w:rStyle w:val="InternetLink"/>
                  <w:rFonts w:ascii="Times New Roman;serif" w:hAnsi="Times New Roman;serif"/>
                  <w:b w:val="false"/>
                  <w:strike w:val="false"/>
                  <w:dstrike w:val="false"/>
                  <w:color w:val="000000"/>
                  <w:sz w:val="22"/>
                  <w:u w:val="none"/>
                  <w:effect w:val="none"/>
                </w:rPr>
                <w:t>4.1        Participation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26">
              <w:r>
                <w:rPr>
                  <w:rStyle w:val="InternetLink"/>
                  <w:rFonts w:ascii="Times New Roman;serif" w:hAnsi="Times New Roman;serif"/>
                  <w:b w:val="false"/>
                  <w:strike w:val="false"/>
                  <w:dstrike w:val="false"/>
                  <w:color w:val="000000"/>
                  <w:sz w:val="22"/>
                  <w:u w:val="none"/>
                  <w:effect w:val="none"/>
                </w:rPr>
                <w:t>11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29">
              <w:r>
                <w:rPr>
                  <w:rStyle w:val="InternetLink"/>
                  <w:rFonts w:ascii="Times New Roman;serif" w:hAnsi="Times New Roman;serif"/>
                  <w:b w:val="false"/>
                  <w:strike w:val="false"/>
                  <w:dstrike w:val="false"/>
                  <w:color w:val="000000"/>
                  <w:sz w:val="22"/>
                  <w:u w:val="none"/>
                  <w:effect w:val="none"/>
                </w:rPr>
                <w:t>4.2        Award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29">
              <w:r>
                <w:rPr>
                  <w:rStyle w:val="InternetLink"/>
                  <w:rFonts w:ascii="Times New Roman;serif" w:hAnsi="Times New Roman;serif"/>
                  <w:b w:val="false"/>
                  <w:strike w:val="false"/>
                  <w:dstrike w:val="false"/>
                  <w:color w:val="000000"/>
                  <w:sz w:val="22"/>
                  <w:u w:val="none"/>
                  <w:effect w:val="none"/>
                </w:rPr>
                <w:t>11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32">
              <w:r>
                <w:rPr>
                  <w:rStyle w:val="InternetLink"/>
                  <w:rFonts w:ascii="Times New Roman;serif" w:hAnsi="Times New Roman;serif"/>
                  <w:b w:val="false"/>
                  <w:strike w:val="false"/>
                  <w:dstrike w:val="false"/>
                  <w:color w:val="000000"/>
                  <w:sz w:val="22"/>
                  <w:u w:val="none"/>
                  <w:effect w:val="none"/>
                </w:rPr>
                <w:t>4.3        Limitations Applicable to Section 16 Persons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32">
              <w:r>
                <w:rPr>
                  <w:rStyle w:val="InternetLink"/>
                  <w:rFonts w:ascii="Times New Roman;serif" w:hAnsi="Times New Roman;serif"/>
                  <w:b w:val="false"/>
                  <w:strike w:val="false"/>
                  <w:dstrike w:val="false"/>
                  <w:color w:val="000000"/>
                  <w:sz w:val="22"/>
                  <w:u w:val="none"/>
                  <w:effect w:val="none"/>
                </w:rPr>
                <w:t>11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35">
              <w:r>
                <w:rPr>
                  <w:rStyle w:val="InternetLink"/>
                  <w:rFonts w:ascii="Times New Roman;serif" w:hAnsi="Times New Roman;serif"/>
                  <w:b w:val="false"/>
                  <w:strike w:val="false"/>
                  <w:dstrike w:val="false"/>
                  <w:color w:val="000000"/>
                  <w:sz w:val="22"/>
                  <w:u w:val="none"/>
                  <w:effect w:val="none"/>
                </w:rPr>
                <w:t>4.4        At-Will Employment; Voluntary Participation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35">
              <w:r>
                <w:rPr>
                  <w:rStyle w:val="InternetLink"/>
                  <w:rFonts w:ascii="Times New Roman;serif" w:hAnsi="Times New Roman;serif"/>
                  <w:b w:val="false"/>
                  <w:strike w:val="false"/>
                  <w:dstrike w:val="false"/>
                  <w:color w:val="000000"/>
                  <w:sz w:val="22"/>
                  <w:u w:val="none"/>
                  <w:effect w:val="none"/>
                </w:rPr>
                <w:t>11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38">
              <w:r>
                <w:rPr>
                  <w:rStyle w:val="InternetLink"/>
                  <w:rFonts w:ascii="Times New Roman;serif" w:hAnsi="Times New Roman;serif"/>
                  <w:b w:val="false"/>
                  <w:strike w:val="false"/>
                  <w:dstrike w:val="false"/>
                  <w:color w:val="000000"/>
                  <w:sz w:val="22"/>
                  <w:u w:val="none"/>
                  <w:effect w:val="none"/>
                </w:rPr>
                <w:t>4.5        Foreign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38">
              <w:r>
                <w:rPr>
                  <w:rStyle w:val="InternetLink"/>
                  <w:rFonts w:ascii="Times New Roman;serif" w:hAnsi="Times New Roman;serif"/>
                  <w:b w:val="false"/>
                  <w:strike w:val="false"/>
                  <w:dstrike w:val="false"/>
                  <w:color w:val="000000"/>
                  <w:sz w:val="22"/>
                  <w:u w:val="none"/>
                  <w:effect w:val="none"/>
                </w:rPr>
                <w:t>11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41">
              <w:r>
                <w:rPr>
                  <w:rStyle w:val="InternetLink"/>
                  <w:rFonts w:ascii="Times New Roman;serif" w:hAnsi="Times New Roman;serif"/>
                  <w:b w:val="false"/>
                  <w:strike w:val="false"/>
                  <w:dstrike w:val="false"/>
                  <w:color w:val="000000"/>
                  <w:sz w:val="22"/>
                  <w:u w:val="none"/>
                  <w:effect w:val="none"/>
                </w:rPr>
                <w:t>4.6        Non-Employee Director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41">
              <w:r>
                <w:rPr>
                  <w:rStyle w:val="InternetLink"/>
                  <w:rFonts w:ascii="Times New Roman;serif" w:hAnsi="Times New Roman;serif"/>
                  <w:b w:val="false"/>
                  <w:strike w:val="false"/>
                  <w:dstrike w:val="false"/>
                  <w:color w:val="000000"/>
                  <w:sz w:val="22"/>
                  <w:u w:val="none"/>
                  <w:effect w:val="none"/>
                </w:rPr>
                <w:t>12</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44">
              <w:r>
                <w:rPr>
                  <w:rStyle w:val="InternetLink"/>
                  <w:rFonts w:ascii="Times New Roman;serif" w:hAnsi="Times New Roman;serif"/>
                  <w:b w:val="false"/>
                  <w:strike w:val="false"/>
                  <w:dstrike w:val="false"/>
                  <w:color w:val="000000"/>
                  <w:sz w:val="22"/>
                  <w:u w:val="none"/>
                  <w:effect w:val="none"/>
                </w:rPr>
                <w:t>4.7        Stand-Alone and Tandem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44">
              <w:r>
                <w:rPr>
                  <w:rStyle w:val="InternetLink"/>
                  <w:rFonts w:ascii="Times New Roman;serif" w:hAnsi="Times New Roman;serif"/>
                  <w:b w:val="false"/>
                  <w:strike w:val="false"/>
                  <w:dstrike w:val="false"/>
                  <w:color w:val="000000"/>
                  <w:sz w:val="22"/>
                  <w:u w:val="none"/>
                  <w:effect w:val="none"/>
                </w:rPr>
                <w:t>12</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47">
              <w:r>
                <w:rPr>
                  <w:rStyle w:val="InternetLink"/>
                  <w:rFonts w:ascii="Times New Roman;serif" w:hAnsi="Times New Roman;serif"/>
                  <w:b w:val="false"/>
                  <w:strike w:val="false"/>
                  <w:dstrike w:val="false"/>
                  <w:color w:val="000080"/>
                  <w:sz w:val="22"/>
                  <w:u w:val="single"/>
                  <w:effect w:val="none"/>
                </w:rPr>
                <w:t>ARTICLE 5.</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247">
              <w:r>
                <w:rPr>
                  <w:rStyle w:val="InternetLink"/>
                  <w:rFonts w:ascii="Times New Roman;serif" w:hAnsi="Times New Roman;serif"/>
                  <w:b w:val="false"/>
                  <w:strike w:val="false"/>
                  <w:dstrike w:val="false"/>
                  <w:color w:val="000080"/>
                  <w:sz w:val="22"/>
                  <w:u w:val="single"/>
                  <w:effect w:val="none"/>
                </w:rPr>
                <w:t>OPTIONS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47">
              <w:r>
                <w:rPr>
                  <w:rStyle w:val="InternetLink"/>
                  <w:rFonts w:ascii="Times New Roman;serif" w:hAnsi="Times New Roman;serif"/>
                  <w:b w:val="false"/>
                  <w:strike w:val="false"/>
                  <w:dstrike w:val="false"/>
                  <w:color w:val="000000"/>
                  <w:sz w:val="22"/>
                  <w:u w:val="none"/>
                  <w:effect w:val="none"/>
                </w:rPr>
                <w:t>12</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50">
              <w:r>
                <w:rPr>
                  <w:rStyle w:val="InternetLink"/>
                  <w:rFonts w:ascii="Times New Roman;serif" w:hAnsi="Times New Roman;serif"/>
                  <w:b w:val="false"/>
                  <w:strike w:val="false"/>
                  <w:dstrike w:val="false"/>
                  <w:color w:val="000000"/>
                  <w:sz w:val="22"/>
                  <w:u w:val="none"/>
                  <w:effect w:val="none"/>
                </w:rPr>
                <w:t>5.1        Granting of Options to Eligible Individuals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50">
              <w:r>
                <w:rPr>
                  <w:rStyle w:val="InternetLink"/>
                  <w:rFonts w:ascii="Times New Roman;serif" w:hAnsi="Times New Roman;serif"/>
                  <w:b w:val="false"/>
                  <w:strike w:val="false"/>
                  <w:dstrike w:val="false"/>
                  <w:color w:val="000000"/>
                  <w:sz w:val="22"/>
                  <w:u w:val="none"/>
                  <w:effect w:val="none"/>
                </w:rPr>
                <w:t>12</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53">
              <w:r>
                <w:rPr>
                  <w:rStyle w:val="InternetLink"/>
                  <w:rFonts w:ascii="Times New Roman;serif" w:hAnsi="Times New Roman;serif"/>
                  <w:b w:val="false"/>
                  <w:strike w:val="false"/>
                  <w:dstrike w:val="false"/>
                  <w:color w:val="000000"/>
                  <w:sz w:val="22"/>
                  <w:u w:val="none"/>
                  <w:effect w:val="none"/>
                </w:rPr>
                <w:t>5.2        Option Exercise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53">
              <w:r>
                <w:rPr>
                  <w:rStyle w:val="InternetLink"/>
                  <w:rFonts w:ascii="Times New Roman;serif" w:hAnsi="Times New Roman;serif"/>
                  <w:b w:val="false"/>
                  <w:strike w:val="false"/>
                  <w:dstrike w:val="false"/>
                  <w:color w:val="000000"/>
                  <w:sz w:val="22"/>
                  <w:u w:val="none"/>
                  <w:effect w:val="none"/>
                </w:rPr>
                <w:t>12</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56">
              <w:r>
                <w:rPr>
                  <w:rStyle w:val="InternetLink"/>
                  <w:rFonts w:ascii="Times New Roman;serif" w:hAnsi="Times New Roman;serif"/>
                  <w:b w:val="false"/>
                  <w:strike w:val="false"/>
                  <w:dstrike w:val="false"/>
                  <w:color w:val="000000"/>
                  <w:sz w:val="22"/>
                  <w:u w:val="none"/>
                  <w:effect w:val="none"/>
                </w:rPr>
                <w:t>5.3        Option Vesting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56">
              <w:r>
                <w:rPr>
                  <w:rStyle w:val="InternetLink"/>
                  <w:rFonts w:ascii="Times New Roman;serif" w:hAnsi="Times New Roman;serif"/>
                  <w:b w:val="false"/>
                  <w:strike w:val="false"/>
                  <w:dstrike w:val="false"/>
                  <w:color w:val="000000"/>
                  <w:sz w:val="22"/>
                  <w:u w:val="none"/>
                  <w:effect w:val="none"/>
                </w:rPr>
                <w:t>12</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59">
              <w:r>
                <w:rPr>
                  <w:rStyle w:val="InternetLink"/>
                  <w:rFonts w:ascii="Times New Roman;serif" w:hAnsi="Times New Roman;serif"/>
                  <w:b w:val="false"/>
                  <w:strike w:val="false"/>
                  <w:dstrike w:val="false"/>
                  <w:color w:val="000000"/>
                  <w:sz w:val="22"/>
                  <w:u w:val="none"/>
                  <w:effect w:val="none"/>
                </w:rPr>
                <w:t>5.4        Manner of Exercise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59">
              <w:r>
                <w:rPr>
                  <w:rStyle w:val="InternetLink"/>
                  <w:rFonts w:ascii="Times New Roman;serif" w:hAnsi="Times New Roman;serif"/>
                  <w:b w:val="false"/>
                  <w:strike w:val="false"/>
                  <w:dstrike w:val="false"/>
                  <w:color w:val="000000"/>
                  <w:sz w:val="22"/>
                  <w:u w:val="none"/>
                  <w:effect w:val="none"/>
                </w:rPr>
                <w:t>12</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62">
              <w:r>
                <w:rPr>
                  <w:rStyle w:val="InternetLink"/>
                  <w:rFonts w:ascii="Times New Roman;serif" w:hAnsi="Times New Roman;serif"/>
                  <w:b w:val="false"/>
                  <w:strike w:val="false"/>
                  <w:dstrike w:val="false"/>
                  <w:color w:val="000000"/>
                  <w:sz w:val="22"/>
                  <w:u w:val="none"/>
                  <w:effect w:val="none"/>
                </w:rPr>
                <w:t>5.5        Partial Exercise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62">
              <w:r>
                <w:rPr>
                  <w:rStyle w:val="InternetLink"/>
                  <w:rFonts w:ascii="Times New Roman;serif" w:hAnsi="Times New Roman;serif"/>
                  <w:b w:val="false"/>
                  <w:strike w:val="false"/>
                  <w:dstrike w:val="false"/>
                  <w:color w:val="000000"/>
                  <w:sz w:val="22"/>
                  <w:u w:val="none"/>
                  <w:effect w:val="none"/>
                </w:rPr>
                <w:t>13</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65">
              <w:r>
                <w:rPr>
                  <w:rStyle w:val="InternetLink"/>
                  <w:rFonts w:ascii="Times New Roman;serif" w:hAnsi="Times New Roman;serif"/>
                  <w:b w:val="false"/>
                  <w:strike w:val="false"/>
                  <w:dstrike w:val="false"/>
                  <w:color w:val="000000"/>
                  <w:sz w:val="22"/>
                  <w:u w:val="none"/>
                  <w:effect w:val="none"/>
                </w:rPr>
                <w:t>5.6        Option Term</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65">
              <w:r>
                <w:rPr>
                  <w:rStyle w:val="InternetLink"/>
                  <w:rFonts w:ascii="Times New Roman;serif" w:hAnsi="Times New Roman;serif"/>
                  <w:b w:val="false"/>
                  <w:strike w:val="false"/>
                  <w:dstrike w:val="false"/>
                  <w:color w:val="000000"/>
                  <w:sz w:val="22"/>
                  <w:u w:val="none"/>
                  <w:effect w:val="none"/>
                </w:rPr>
                <w:t>13</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68">
              <w:r>
                <w:rPr>
                  <w:rStyle w:val="InternetLink"/>
                  <w:rFonts w:ascii="Times New Roman;serif" w:hAnsi="Times New Roman;serif"/>
                  <w:b w:val="false"/>
                  <w:strike w:val="false"/>
                  <w:dstrike w:val="false"/>
                  <w:color w:val="000000"/>
                  <w:sz w:val="22"/>
                  <w:u w:val="none"/>
                  <w:effect w:val="none"/>
                </w:rPr>
                <w:t>5.7        Qualification of Incentive Stock Options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68">
              <w:r>
                <w:rPr>
                  <w:rStyle w:val="InternetLink"/>
                  <w:rFonts w:ascii="Times New Roman;serif" w:hAnsi="Times New Roman;serif"/>
                  <w:b w:val="false"/>
                  <w:strike w:val="false"/>
                  <w:dstrike w:val="false"/>
                  <w:color w:val="000000"/>
                  <w:sz w:val="22"/>
                  <w:u w:val="none"/>
                  <w:effect w:val="none"/>
                </w:rPr>
                <w:t>13</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71">
              <w:r>
                <w:rPr>
                  <w:rStyle w:val="InternetLink"/>
                  <w:rFonts w:ascii="Times New Roman;serif" w:hAnsi="Times New Roman;serif"/>
                  <w:b w:val="false"/>
                  <w:strike w:val="false"/>
                  <w:dstrike w:val="false"/>
                  <w:color w:val="000000"/>
                  <w:sz w:val="22"/>
                  <w:u w:val="none"/>
                  <w:effect w:val="none"/>
                </w:rPr>
                <w:t>5.8        Notification Regarding Disposition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71">
              <w:r>
                <w:rPr>
                  <w:rStyle w:val="InternetLink"/>
                  <w:rFonts w:ascii="Times New Roman;serif" w:hAnsi="Times New Roman;serif"/>
                  <w:b w:val="false"/>
                  <w:strike w:val="false"/>
                  <w:dstrike w:val="false"/>
                  <w:color w:val="000000"/>
                  <w:sz w:val="22"/>
                  <w:u w:val="none"/>
                  <w:effect w:val="none"/>
                </w:rPr>
                <w:t>13</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74">
              <w:r>
                <w:rPr>
                  <w:rStyle w:val="InternetLink"/>
                  <w:rFonts w:ascii="Times New Roman;serif" w:hAnsi="Times New Roman;serif"/>
                  <w:b w:val="false"/>
                  <w:strike w:val="false"/>
                  <w:dstrike w:val="false"/>
                  <w:color w:val="000000"/>
                  <w:sz w:val="22"/>
                  <w:u w:val="none"/>
                  <w:effect w:val="none"/>
                </w:rPr>
                <w:t>5.9        Substitute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74">
              <w:r>
                <w:rPr>
                  <w:rStyle w:val="InternetLink"/>
                  <w:rFonts w:ascii="Times New Roman;serif" w:hAnsi="Times New Roman;serif"/>
                  <w:b w:val="false"/>
                  <w:strike w:val="false"/>
                  <w:dstrike w:val="false"/>
                  <w:color w:val="000000"/>
                  <w:sz w:val="22"/>
                  <w:u w:val="none"/>
                  <w:effect w:val="none"/>
                </w:rPr>
                <w:t>13</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77">
              <w:r>
                <w:rPr>
                  <w:rStyle w:val="InternetLink"/>
                  <w:rFonts w:ascii="Times New Roman;serif" w:hAnsi="Times New Roman;serif"/>
                  <w:b w:val="false"/>
                  <w:strike w:val="false"/>
                  <w:dstrike w:val="false"/>
                  <w:color w:val="000000"/>
                  <w:sz w:val="22"/>
                  <w:u w:val="none"/>
                  <w:effect w:val="none"/>
                </w:rPr>
                <w:t>5.10      Modification, Extension or Renewal</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77">
              <w:r>
                <w:rPr>
                  <w:rStyle w:val="InternetLink"/>
                  <w:rFonts w:ascii="Times New Roman;serif" w:hAnsi="Times New Roman;serif"/>
                  <w:b w:val="false"/>
                  <w:strike w:val="false"/>
                  <w:dstrike w:val="false"/>
                  <w:color w:val="000000"/>
                  <w:sz w:val="22"/>
                  <w:u w:val="none"/>
                  <w:effect w:val="none"/>
                </w:rPr>
                <w:t>13</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80">
              <w:r>
                <w:rPr>
                  <w:rStyle w:val="InternetLink"/>
                  <w:rFonts w:ascii="Times New Roman;serif" w:hAnsi="Times New Roman;serif"/>
                  <w:b w:val="false"/>
                  <w:strike w:val="false"/>
                  <w:dstrike w:val="false"/>
                  <w:color w:val="000000"/>
                  <w:sz w:val="22"/>
                  <w:u w:val="none"/>
                  <w:effect w:val="none"/>
                </w:rPr>
                <w:t>5.11      No Disqualification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80">
              <w:r>
                <w:rPr>
                  <w:rStyle w:val="InternetLink"/>
                  <w:rFonts w:ascii="Times New Roman;serif" w:hAnsi="Times New Roman;serif"/>
                  <w:b w:val="false"/>
                  <w:strike w:val="false"/>
                  <w:dstrike w:val="false"/>
                  <w:color w:val="000000"/>
                  <w:sz w:val="22"/>
                  <w:u w:val="none"/>
                  <w:effect w:val="none"/>
                </w:rPr>
                <w:t>14</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83">
              <w:r>
                <w:rPr>
                  <w:rStyle w:val="InternetLink"/>
                  <w:rFonts w:ascii="Times New Roman;serif" w:hAnsi="Times New Roman;serif"/>
                  <w:b w:val="false"/>
                  <w:strike w:val="false"/>
                  <w:dstrike w:val="false"/>
                  <w:color w:val="000080"/>
                  <w:sz w:val="22"/>
                  <w:u w:val="single"/>
                  <w:effect w:val="none"/>
                </w:rPr>
                <w:t>ARTICLE 6.</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283">
              <w:r>
                <w:rPr>
                  <w:rStyle w:val="InternetLink"/>
                  <w:rFonts w:ascii="Times New Roman;serif" w:hAnsi="Times New Roman;serif"/>
                  <w:b w:val="false"/>
                  <w:strike w:val="false"/>
                  <w:dstrike w:val="false"/>
                  <w:color w:val="000080"/>
                  <w:sz w:val="22"/>
                  <w:u w:val="single"/>
                  <w:effect w:val="none"/>
                </w:rPr>
                <w:t>RESTRICTED STOCK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83">
              <w:r>
                <w:rPr>
                  <w:rStyle w:val="InternetLink"/>
                  <w:rFonts w:ascii="Times New Roman;serif" w:hAnsi="Times New Roman;serif"/>
                  <w:b w:val="false"/>
                  <w:strike w:val="false"/>
                  <w:dstrike w:val="false"/>
                  <w:color w:val="000000"/>
                  <w:sz w:val="22"/>
                  <w:u w:val="none"/>
                  <w:effect w:val="none"/>
                </w:rPr>
                <w:t>14</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tbl>
      <w:tblPr>
        <w:tblW w:w="7290" w:type="dxa"/>
        <w:jc w:val="left"/>
        <w:tblInd w:w="0" w:type="dxa"/>
        <w:tblLayout w:type="fixed"/>
        <w:tblCellMar>
          <w:top w:w="28" w:type="dxa"/>
          <w:left w:w="28" w:type="dxa"/>
          <w:bottom w:w="28" w:type="dxa"/>
          <w:right w:w="28" w:type="dxa"/>
        </w:tblCellMar>
      </w:tblPr>
      <w:tblGrid>
        <w:gridCol w:w="2501"/>
        <w:gridCol w:w="2195"/>
        <w:gridCol w:w="2203"/>
        <w:gridCol w:w="114"/>
        <w:gridCol w:w="114"/>
        <w:gridCol w:w="163"/>
      </w:tblGrid>
      <w:tr>
        <w:trPr/>
        <w:tc>
          <w:tcPr>
            <w:tcW w:w="2501"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86">
              <w:r>
                <w:rPr>
                  <w:rStyle w:val="InternetLink"/>
                  <w:rFonts w:ascii="Times New Roman;serif" w:hAnsi="Times New Roman;serif"/>
                  <w:b w:val="false"/>
                  <w:strike w:val="false"/>
                  <w:dstrike w:val="false"/>
                  <w:color w:val="000000"/>
                  <w:sz w:val="22"/>
                  <w:u w:val="none"/>
                  <w:effect w:val="none"/>
                </w:rPr>
                <w:t>6.1        Award of Restricted Stock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86">
              <w:r>
                <w:rPr>
                  <w:rStyle w:val="InternetLink"/>
                  <w:rFonts w:ascii="Times New Roman;serif" w:hAnsi="Times New Roman;serif"/>
                  <w:b w:val="false"/>
                  <w:strike w:val="false"/>
                  <w:dstrike w:val="false"/>
                  <w:color w:val="000000"/>
                  <w:sz w:val="22"/>
                  <w:u w:val="none"/>
                  <w:effect w:val="none"/>
                </w:rPr>
                <w:t>14</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89">
              <w:r>
                <w:rPr>
                  <w:rStyle w:val="InternetLink"/>
                  <w:rFonts w:ascii="Times New Roman;serif" w:hAnsi="Times New Roman;serif"/>
                  <w:b w:val="false"/>
                  <w:strike w:val="false"/>
                  <w:dstrike w:val="false"/>
                  <w:color w:val="000000"/>
                  <w:sz w:val="22"/>
                  <w:u w:val="none"/>
                  <w:effect w:val="none"/>
                </w:rPr>
                <w:t>6.2        Rights as Stockholders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89">
              <w:r>
                <w:rPr>
                  <w:rStyle w:val="InternetLink"/>
                  <w:rFonts w:ascii="Times New Roman;serif" w:hAnsi="Times New Roman;serif"/>
                  <w:b w:val="false"/>
                  <w:strike w:val="false"/>
                  <w:dstrike w:val="false"/>
                  <w:color w:val="000000"/>
                  <w:sz w:val="22"/>
                  <w:u w:val="none"/>
                  <w:effect w:val="none"/>
                </w:rPr>
                <w:t>14</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92">
              <w:r>
                <w:rPr>
                  <w:rStyle w:val="InternetLink"/>
                  <w:rFonts w:ascii="Times New Roman;serif" w:hAnsi="Times New Roman;serif"/>
                  <w:b w:val="false"/>
                  <w:strike w:val="false"/>
                  <w:dstrike w:val="false"/>
                  <w:color w:val="000000"/>
                  <w:sz w:val="22"/>
                  <w:u w:val="none"/>
                  <w:effect w:val="none"/>
                </w:rPr>
                <w:t>6.3        Restrictions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92">
              <w:r>
                <w:rPr>
                  <w:rStyle w:val="InternetLink"/>
                  <w:rFonts w:ascii="Times New Roman;serif" w:hAnsi="Times New Roman;serif"/>
                  <w:b w:val="false"/>
                  <w:strike w:val="false"/>
                  <w:dstrike w:val="false"/>
                  <w:color w:val="000000"/>
                  <w:sz w:val="22"/>
                  <w:u w:val="none"/>
                  <w:effect w:val="none"/>
                </w:rPr>
                <w:t>14</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95">
              <w:r>
                <w:rPr>
                  <w:rStyle w:val="InternetLink"/>
                  <w:rFonts w:ascii="Times New Roman;serif" w:hAnsi="Times New Roman;serif"/>
                  <w:b w:val="false"/>
                  <w:strike w:val="false"/>
                  <w:dstrike w:val="false"/>
                  <w:color w:val="000000"/>
                  <w:sz w:val="22"/>
                  <w:u w:val="none"/>
                  <w:effect w:val="none"/>
                </w:rPr>
                <w:t>6.4        Share Vesting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95">
              <w:r>
                <w:rPr>
                  <w:rStyle w:val="InternetLink"/>
                  <w:rFonts w:ascii="Times New Roman;serif" w:hAnsi="Times New Roman;serif"/>
                  <w:b w:val="false"/>
                  <w:strike w:val="false"/>
                  <w:dstrike w:val="false"/>
                  <w:color w:val="000000"/>
                  <w:sz w:val="22"/>
                  <w:u w:val="none"/>
                  <w:effect w:val="none"/>
                </w:rPr>
                <w:t>14</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298">
              <w:r>
                <w:rPr>
                  <w:rStyle w:val="InternetLink"/>
                  <w:rFonts w:ascii="Times New Roman;serif" w:hAnsi="Times New Roman;serif"/>
                  <w:b w:val="false"/>
                  <w:strike w:val="false"/>
                  <w:dstrike w:val="false"/>
                  <w:color w:val="000000"/>
                  <w:sz w:val="22"/>
                  <w:u w:val="none"/>
                  <w:effect w:val="none"/>
                </w:rPr>
                <w:t>6.5        Repurchase or Forfeiture of Restricted Stock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298">
              <w:r>
                <w:rPr>
                  <w:rStyle w:val="InternetLink"/>
                  <w:rFonts w:ascii="Times New Roman;serif" w:hAnsi="Times New Roman;serif"/>
                  <w:b w:val="false"/>
                  <w:strike w:val="false"/>
                  <w:dstrike w:val="false"/>
                  <w:color w:val="000000"/>
                  <w:sz w:val="22"/>
                  <w:u w:val="none"/>
                  <w:effect w:val="none"/>
                </w:rPr>
                <w:t>14</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01">
              <w:r>
                <w:rPr>
                  <w:rStyle w:val="InternetLink"/>
                  <w:rFonts w:ascii="Times New Roman;serif" w:hAnsi="Times New Roman;serif"/>
                  <w:b w:val="false"/>
                  <w:strike w:val="false"/>
                  <w:dstrike w:val="false"/>
                  <w:color w:val="000000"/>
                  <w:sz w:val="22"/>
                  <w:u w:val="none"/>
                  <w:effect w:val="none"/>
                </w:rPr>
                <w:t>6.6        Certificates for Restricted Stock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01">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04">
              <w:r>
                <w:rPr>
                  <w:rStyle w:val="InternetLink"/>
                  <w:rFonts w:ascii="Times New Roman;serif" w:hAnsi="Times New Roman;serif"/>
                  <w:b w:val="false"/>
                  <w:strike w:val="false"/>
                  <w:dstrike w:val="false"/>
                  <w:color w:val="000000"/>
                  <w:sz w:val="22"/>
                  <w:u w:val="none"/>
                  <w:effect w:val="none"/>
                </w:rPr>
                <w:t>6.7        Section 83(b) Election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04">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07">
              <w:r>
                <w:rPr>
                  <w:rStyle w:val="InternetLink"/>
                  <w:rFonts w:ascii="Times New Roman;serif" w:hAnsi="Times New Roman;serif"/>
                  <w:b w:val="false"/>
                  <w:strike w:val="false"/>
                  <w:dstrike w:val="false"/>
                  <w:color w:val="000080"/>
                  <w:sz w:val="22"/>
                  <w:u w:val="single"/>
                  <w:effect w:val="none"/>
                </w:rPr>
                <w:t>ARTICLE 7.</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307">
              <w:r>
                <w:rPr>
                  <w:rStyle w:val="InternetLink"/>
                  <w:rFonts w:ascii="Times New Roman;serif" w:hAnsi="Times New Roman;serif"/>
                  <w:b w:val="false"/>
                  <w:strike w:val="false"/>
                  <w:dstrike w:val="false"/>
                  <w:color w:val="000080"/>
                  <w:sz w:val="22"/>
                  <w:u w:val="single"/>
                  <w:effect w:val="none"/>
                </w:rPr>
                <w:t>RESTRICTED STOCK UNITS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07">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10">
              <w:r>
                <w:rPr>
                  <w:rStyle w:val="InternetLink"/>
                  <w:rFonts w:ascii="Times New Roman;serif" w:hAnsi="Times New Roman;serif"/>
                  <w:b w:val="false"/>
                  <w:strike w:val="false"/>
                  <w:dstrike w:val="false"/>
                  <w:color w:val="000000"/>
                  <w:sz w:val="22"/>
                  <w:u w:val="none"/>
                  <w:effect w:val="none"/>
                </w:rPr>
                <w:t>7.1        Grant of Restricted Stock Units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10">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13">
              <w:r>
                <w:rPr>
                  <w:rStyle w:val="InternetLink"/>
                  <w:rFonts w:ascii="Times New Roman;serif" w:hAnsi="Times New Roman;serif"/>
                  <w:b w:val="false"/>
                  <w:strike w:val="false"/>
                  <w:dstrike w:val="false"/>
                  <w:color w:val="000000"/>
                  <w:sz w:val="22"/>
                  <w:u w:val="none"/>
                  <w:effect w:val="none"/>
                </w:rPr>
                <w:t>7.2        Term</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13">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16">
              <w:r>
                <w:rPr>
                  <w:rStyle w:val="InternetLink"/>
                  <w:rFonts w:ascii="Times New Roman;serif" w:hAnsi="Times New Roman;serif"/>
                  <w:b w:val="false"/>
                  <w:strike w:val="false"/>
                  <w:dstrike w:val="false"/>
                  <w:color w:val="000000"/>
                  <w:sz w:val="22"/>
                  <w:u w:val="none"/>
                  <w:effect w:val="none"/>
                </w:rPr>
                <w:t>7.3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16">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19">
              <w:r>
                <w:rPr>
                  <w:rStyle w:val="InternetLink"/>
                  <w:rFonts w:ascii="Times New Roman;serif" w:hAnsi="Times New Roman;serif"/>
                  <w:b w:val="false"/>
                  <w:strike w:val="false"/>
                  <w:dstrike w:val="false"/>
                  <w:color w:val="000000"/>
                  <w:sz w:val="22"/>
                  <w:u w:val="none"/>
                  <w:effect w:val="none"/>
                </w:rPr>
                <w:t>7.4        Vesting of Restricted Stock Units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19">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22">
              <w:r>
                <w:rPr>
                  <w:rStyle w:val="InternetLink"/>
                  <w:rFonts w:ascii="Times New Roman;serif" w:hAnsi="Times New Roman;serif"/>
                  <w:b w:val="false"/>
                  <w:strike w:val="false"/>
                  <w:dstrike w:val="false"/>
                  <w:color w:val="000000"/>
                  <w:sz w:val="22"/>
                  <w:u w:val="none"/>
                  <w:effect w:val="none"/>
                </w:rPr>
                <w:t>7.5        Maturity and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22">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25">
              <w:r>
                <w:rPr>
                  <w:rStyle w:val="InternetLink"/>
                  <w:rFonts w:ascii="Times New Roman;serif" w:hAnsi="Times New Roman;serif"/>
                  <w:b w:val="false"/>
                  <w:strike w:val="false"/>
                  <w:dstrike w:val="false"/>
                  <w:color w:val="000000"/>
                  <w:sz w:val="22"/>
                  <w:u w:val="none"/>
                  <w:effect w:val="none"/>
                </w:rPr>
                <w:t>7.6        No Rights as a Stockholder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25">
              <w:r>
                <w:rPr>
                  <w:rStyle w:val="InternetLink"/>
                  <w:rFonts w:ascii="Times New Roman;serif" w:hAnsi="Times New Roman;serif"/>
                  <w:b w:val="false"/>
                  <w:strike w:val="false"/>
                  <w:dstrike w:val="false"/>
                  <w:color w:val="000000"/>
                  <w:sz w:val="22"/>
                  <w:u w:val="none"/>
                  <w:effect w:val="none"/>
                </w:rPr>
                <w:t>15</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28">
              <w:r>
                <w:rPr>
                  <w:rStyle w:val="InternetLink"/>
                  <w:rFonts w:ascii="Times New Roman;serif" w:hAnsi="Times New Roman;serif"/>
                  <w:b w:val="false"/>
                  <w:strike w:val="false"/>
                  <w:dstrike w:val="false"/>
                  <w:color w:val="000080"/>
                  <w:sz w:val="22"/>
                  <w:u w:val="single"/>
                  <w:effect w:val="none"/>
                </w:rPr>
                <w:t>ARTICLE 8.</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328">
              <w:r>
                <w:rPr>
                  <w:rStyle w:val="InternetLink"/>
                  <w:rFonts w:ascii="Times New Roman;serif" w:hAnsi="Times New Roman;serif"/>
                  <w:b w:val="false"/>
                  <w:strike w:val="false"/>
                  <w:dstrike w:val="false"/>
                  <w:color w:val="000080"/>
                  <w:sz w:val="22"/>
                  <w:u w:val="single"/>
                  <w:effect w:val="none"/>
                </w:rPr>
                <w:t>PERFORMANCE AWARDS AND STOCK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28">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31">
              <w:r>
                <w:rPr>
                  <w:rStyle w:val="InternetLink"/>
                  <w:rFonts w:ascii="Times New Roman;serif" w:hAnsi="Times New Roman;serif"/>
                  <w:b w:val="false"/>
                  <w:strike w:val="false"/>
                  <w:dstrike w:val="false"/>
                  <w:color w:val="000000"/>
                  <w:sz w:val="22"/>
                  <w:u w:val="none"/>
                  <w:effect w:val="none"/>
                </w:rPr>
                <w:t>8.1        Performance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31">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34">
              <w:r>
                <w:rPr>
                  <w:rStyle w:val="InternetLink"/>
                  <w:rFonts w:ascii="Times New Roman;serif" w:hAnsi="Times New Roman;serif"/>
                  <w:b w:val="false"/>
                  <w:strike w:val="false"/>
                  <w:dstrike w:val="false"/>
                  <w:color w:val="000000"/>
                  <w:sz w:val="22"/>
                  <w:u w:val="none"/>
                  <w:effect w:val="none"/>
                </w:rPr>
                <w:t>8.2        Stock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34">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37">
              <w:r>
                <w:rPr>
                  <w:rStyle w:val="InternetLink"/>
                  <w:rFonts w:ascii="Times New Roman;serif" w:hAnsi="Times New Roman;serif"/>
                  <w:b w:val="false"/>
                  <w:strike w:val="false"/>
                  <w:dstrike w:val="false"/>
                  <w:color w:val="000000"/>
                  <w:sz w:val="22"/>
                  <w:u w:val="none"/>
                  <w:effect w:val="none"/>
                </w:rPr>
                <w:t>8.3        Term</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37">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40">
              <w:r>
                <w:rPr>
                  <w:rStyle w:val="InternetLink"/>
                  <w:rFonts w:ascii="Times New Roman;serif" w:hAnsi="Times New Roman;serif"/>
                  <w:b w:val="false"/>
                  <w:strike w:val="false"/>
                  <w:dstrike w:val="false"/>
                  <w:color w:val="000000"/>
                  <w:sz w:val="22"/>
                  <w:u w:val="none"/>
                  <w:effect w:val="none"/>
                </w:rPr>
                <w:t>8.4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40">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43">
              <w:r>
                <w:rPr>
                  <w:rStyle w:val="InternetLink"/>
                  <w:rFonts w:ascii="Times New Roman;serif" w:hAnsi="Times New Roman;serif"/>
                  <w:b w:val="false"/>
                  <w:strike w:val="false"/>
                  <w:dstrike w:val="false"/>
                  <w:color w:val="000000"/>
                  <w:sz w:val="22"/>
                  <w:u w:val="none"/>
                  <w:effect w:val="none"/>
                </w:rPr>
                <w:t>8.5        Maturity and Vesting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43">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46">
              <w:r>
                <w:rPr>
                  <w:rStyle w:val="InternetLink"/>
                  <w:rFonts w:ascii="Times New Roman;serif" w:hAnsi="Times New Roman;serif"/>
                  <w:b w:val="false"/>
                  <w:strike w:val="false"/>
                  <w:dstrike w:val="false"/>
                  <w:color w:val="000080"/>
                  <w:sz w:val="22"/>
                  <w:u w:val="single"/>
                  <w:effect w:val="none"/>
                </w:rPr>
                <w:t>ARTICLE 9.</w:t>
              </w:r>
            </w:hyperlink>
            <w:hyperlink w:anchor="i50ea0bd09601496c8a5cce63b3187193_64">
              <w:r>
                <w:rPr>
                  <w:rStyle w:val="InternetLink"/>
                  <w:rFonts w:ascii="Times New Roman;serif" w:hAnsi="Times New Roman;serif"/>
                  <w:b w:val="false"/>
                  <w:strike w:val="false"/>
                  <w:dstrike w:val="false"/>
                  <w:color w:val="000080"/>
                  <w:sz w:val="22"/>
                  <w:u w:val="single"/>
                  <w:effect w:val="none"/>
                </w:rPr>
                <w:t>     </w:t>
              </w:r>
            </w:hyperlink>
            <w:hyperlink w:anchor="i50ea0bd09601496c8a5cce63b3187193_346">
              <w:r>
                <w:rPr>
                  <w:rStyle w:val="InternetLink"/>
                  <w:rFonts w:ascii="Times New Roman;serif" w:hAnsi="Times New Roman;serif"/>
                  <w:b w:val="false"/>
                  <w:strike w:val="false"/>
                  <w:dstrike w:val="false"/>
                  <w:color w:val="000080"/>
                  <w:sz w:val="22"/>
                  <w:u w:val="single"/>
                  <w:effect w:val="none"/>
                </w:rPr>
                <w:t>STOCK APPRECIATION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46">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49">
              <w:r>
                <w:rPr>
                  <w:rStyle w:val="InternetLink"/>
                  <w:rFonts w:ascii="Times New Roman;serif" w:hAnsi="Times New Roman;serif"/>
                  <w:b w:val="false"/>
                  <w:strike w:val="false"/>
                  <w:dstrike w:val="false"/>
                  <w:color w:val="000000"/>
                  <w:sz w:val="22"/>
                  <w:u w:val="none"/>
                  <w:effect w:val="none"/>
                </w:rPr>
                <w:t>9.1        Grant of Stock Appreciation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49">
              <w:r>
                <w:rPr>
                  <w:rStyle w:val="InternetLink"/>
                  <w:rFonts w:ascii="Times New Roman;serif" w:hAnsi="Times New Roman;serif"/>
                  <w:b w:val="false"/>
                  <w:strike w:val="false"/>
                  <w:dstrike w:val="false"/>
                  <w:color w:val="000000"/>
                  <w:sz w:val="22"/>
                  <w:u w:val="none"/>
                  <w:effect w:val="none"/>
                </w:rPr>
                <w:t>16</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52">
              <w:r>
                <w:rPr>
                  <w:rStyle w:val="InternetLink"/>
                  <w:rFonts w:ascii="Times New Roman;serif" w:hAnsi="Times New Roman;serif"/>
                  <w:b w:val="false"/>
                  <w:strike w:val="false"/>
                  <w:dstrike w:val="false"/>
                  <w:color w:val="000000"/>
                  <w:sz w:val="22"/>
                  <w:u w:val="none"/>
                  <w:effect w:val="none"/>
                </w:rPr>
                <w:t>9.2        Stock Appreciation Right Vesting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52">
              <w:r>
                <w:rPr>
                  <w:rStyle w:val="InternetLink"/>
                  <w:rFonts w:ascii="Times New Roman;serif" w:hAnsi="Times New Roman;serif"/>
                  <w:b w:val="false"/>
                  <w:strike w:val="false"/>
                  <w:dstrike w:val="false"/>
                  <w:color w:val="000000"/>
                  <w:sz w:val="22"/>
                  <w:u w:val="none"/>
                  <w:effect w:val="none"/>
                </w:rPr>
                <w:t>17</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55">
              <w:r>
                <w:rPr>
                  <w:rStyle w:val="InternetLink"/>
                  <w:rFonts w:ascii="Times New Roman;serif" w:hAnsi="Times New Roman;serif"/>
                  <w:b w:val="false"/>
                  <w:strike w:val="false"/>
                  <w:dstrike w:val="false"/>
                  <w:color w:val="000000"/>
                  <w:sz w:val="22"/>
                  <w:u w:val="none"/>
                  <w:effect w:val="none"/>
                </w:rPr>
                <w:t>9.3        Manner of Exercise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55">
              <w:r>
                <w:rPr>
                  <w:rStyle w:val="InternetLink"/>
                  <w:rFonts w:ascii="Times New Roman;serif" w:hAnsi="Times New Roman;serif"/>
                  <w:b w:val="false"/>
                  <w:strike w:val="false"/>
                  <w:dstrike w:val="false"/>
                  <w:color w:val="000000"/>
                  <w:sz w:val="22"/>
                  <w:u w:val="none"/>
                  <w:effect w:val="none"/>
                </w:rPr>
                <w:t>17</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58">
              <w:r>
                <w:rPr>
                  <w:rStyle w:val="InternetLink"/>
                  <w:rFonts w:ascii="Times New Roman;serif" w:hAnsi="Times New Roman;serif"/>
                  <w:b w:val="false"/>
                  <w:strike w:val="false"/>
                  <w:dstrike w:val="false"/>
                  <w:color w:val="000000"/>
                  <w:sz w:val="22"/>
                  <w:u w:val="none"/>
                  <w:effect w:val="none"/>
                </w:rPr>
                <w:t>9.4        Stock Appreciation Right Term</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58">
              <w:r>
                <w:rPr>
                  <w:rStyle w:val="InternetLink"/>
                  <w:rFonts w:ascii="Times New Roman;serif" w:hAnsi="Times New Roman;serif"/>
                  <w:b w:val="false"/>
                  <w:strike w:val="false"/>
                  <w:dstrike w:val="false"/>
                  <w:color w:val="000000"/>
                  <w:sz w:val="22"/>
                  <w:u w:val="none"/>
                  <w:effect w:val="none"/>
                </w:rPr>
                <w:t>17</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61">
              <w:r>
                <w:rPr>
                  <w:rStyle w:val="InternetLink"/>
                  <w:rFonts w:ascii="Times New Roman;serif" w:hAnsi="Times New Roman;serif"/>
                  <w:b w:val="false"/>
                  <w:strike w:val="false"/>
                  <w:dstrike w:val="false"/>
                  <w:color w:val="000000"/>
                  <w:sz w:val="22"/>
                  <w:u w:val="none"/>
                  <w:effect w:val="none"/>
                </w:rPr>
                <w:t>9.5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61">
              <w:r>
                <w:rPr>
                  <w:rStyle w:val="InternetLink"/>
                  <w:rFonts w:ascii="Times New Roman;serif" w:hAnsi="Times New Roman;serif"/>
                  <w:b w:val="false"/>
                  <w:strike w:val="false"/>
                  <w:dstrike w:val="false"/>
                  <w:color w:val="000000"/>
                  <w:sz w:val="22"/>
                  <w:u w:val="none"/>
                  <w:effect w:val="none"/>
                </w:rPr>
                <w:t>17</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64">
              <w:r>
                <w:rPr>
                  <w:rStyle w:val="InternetLink"/>
                  <w:rFonts w:ascii="Times New Roman;serif" w:hAnsi="Times New Roman;serif"/>
                  <w:b w:val="false"/>
                  <w:strike w:val="false"/>
                  <w:dstrike w:val="false"/>
                  <w:color w:val="000000"/>
                  <w:sz w:val="22"/>
                  <w:u w:val="none"/>
                  <w:effect w:val="none"/>
                </w:rPr>
                <w:t>ARTICLE 10.ADDITIONAL TERMS OF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64">
              <w:r>
                <w:rPr>
                  <w:rStyle w:val="InternetLink"/>
                  <w:rFonts w:ascii="Times New Roman;serif" w:hAnsi="Times New Roman;serif"/>
                  <w:b w:val="false"/>
                  <w:strike w:val="false"/>
                  <w:dstrike w:val="false"/>
                  <w:color w:val="000000"/>
                  <w:sz w:val="22"/>
                  <w:u w:val="none"/>
                  <w:effect w:val="none"/>
                </w:rPr>
                <w:t>18</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67">
              <w:r>
                <w:rPr>
                  <w:rStyle w:val="InternetLink"/>
                  <w:rFonts w:ascii="Times New Roman;serif" w:hAnsi="Times New Roman;serif"/>
                  <w:b w:val="false"/>
                  <w:strike w:val="false"/>
                  <w:dstrike w:val="false"/>
                  <w:color w:val="000000"/>
                  <w:sz w:val="22"/>
                  <w:u w:val="none"/>
                  <w:effect w:val="none"/>
                </w:rPr>
                <w:t>10.1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67">
              <w:r>
                <w:rPr>
                  <w:rStyle w:val="InternetLink"/>
                  <w:rFonts w:ascii="Times New Roman;serif" w:hAnsi="Times New Roman;serif"/>
                  <w:b w:val="false"/>
                  <w:strike w:val="false"/>
                  <w:dstrike w:val="false"/>
                  <w:color w:val="000000"/>
                  <w:sz w:val="22"/>
                  <w:u w:val="none"/>
                  <w:effect w:val="none"/>
                </w:rPr>
                <w:t>18</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70">
              <w:r>
                <w:rPr>
                  <w:rStyle w:val="InternetLink"/>
                  <w:rFonts w:ascii="Times New Roman;serif" w:hAnsi="Times New Roman;serif"/>
                  <w:b w:val="false"/>
                  <w:strike w:val="false"/>
                  <w:dstrike w:val="false"/>
                  <w:color w:val="000000"/>
                  <w:sz w:val="22"/>
                  <w:u w:val="none"/>
                  <w:effect w:val="none"/>
                </w:rPr>
                <w:t>10.2      Tax Withholding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70">
              <w:r>
                <w:rPr>
                  <w:rStyle w:val="InternetLink"/>
                  <w:rFonts w:ascii="Times New Roman;serif" w:hAnsi="Times New Roman;serif"/>
                  <w:b w:val="false"/>
                  <w:strike w:val="false"/>
                  <w:dstrike w:val="false"/>
                  <w:color w:val="000000"/>
                  <w:sz w:val="22"/>
                  <w:u w:val="none"/>
                  <w:effect w:val="none"/>
                </w:rPr>
                <w:t>18</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73">
              <w:r>
                <w:rPr>
                  <w:rStyle w:val="InternetLink"/>
                  <w:rFonts w:ascii="Times New Roman;serif" w:hAnsi="Times New Roman;serif"/>
                  <w:b w:val="false"/>
                  <w:strike w:val="false"/>
                  <w:dstrike w:val="false"/>
                  <w:color w:val="000000"/>
                  <w:sz w:val="22"/>
                  <w:u w:val="none"/>
                  <w:effect w:val="none"/>
                </w:rPr>
                <w:t>10.3      Transferability of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73">
              <w:r>
                <w:rPr>
                  <w:rStyle w:val="InternetLink"/>
                  <w:rFonts w:ascii="Times New Roman;serif" w:hAnsi="Times New Roman;serif"/>
                  <w:b w:val="false"/>
                  <w:strike w:val="false"/>
                  <w:dstrike w:val="false"/>
                  <w:color w:val="000000"/>
                  <w:sz w:val="22"/>
                  <w:u w:val="none"/>
                  <w:effect w:val="none"/>
                </w:rPr>
                <w:t>18</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76">
              <w:r>
                <w:rPr>
                  <w:rStyle w:val="InternetLink"/>
                  <w:rFonts w:ascii="Times New Roman;serif" w:hAnsi="Times New Roman;serif"/>
                  <w:b w:val="false"/>
                  <w:strike w:val="false"/>
                  <w:dstrike w:val="false"/>
                  <w:color w:val="000000"/>
                  <w:sz w:val="22"/>
                  <w:u w:val="none"/>
                  <w:effect w:val="none"/>
                </w:rPr>
                <w:t>10.4      Conditions to Issuance of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76">
              <w:r>
                <w:rPr>
                  <w:rStyle w:val="InternetLink"/>
                  <w:rFonts w:ascii="Times New Roman;serif" w:hAnsi="Times New Roman;serif"/>
                  <w:b w:val="false"/>
                  <w:strike w:val="false"/>
                  <w:dstrike w:val="false"/>
                  <w:color w:val="000000"/>
                  <w:sz w:val="22"/>
                  <w:u w:val="none"/>
                  <w:effect w:val="none"/>
                </w:rPr>
                <w:t>19</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79">
              <w:r>
                <w:rPr>
                  <w:rStyle w:val="InternetLink"/>
                  <w:rFonts w:ascii="Times New Roman;serif" w:hAnsi="Times New Roman;serif"/>
                  <w:b w:val="false"/>
                  <w:strike w:val="false"/>
                  <w:dstrike w:val="false"/>
                  <w:color w:val="000000"/>
                  <w:sz w:val="22"/>
                  <w:u w:val="none"/>
                  <w:effect w:val="none"/>
                </w:rPr>
                <w:t>10.5      Forfeiture and Claw-Back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79">
              <w:r>
                <w:rPr>
                  <w:rStyle w:val="InternetLink"/>
                  <w:rFonts w:ascii="Times New Roman;serif" w:hAnsi="Times New Roman;serif"/>
                  <w:b w:val="false"/>
                  <w:strike w:val="false"/>
                  <w:dstrike w:val="false"/>
                  <w:color w:val="000000"/>
                  <w:sz w:val="22"/>
                  <w:u w:val="none"/>
                  <w:effect w:val="none"/>
                </w:rPr>
                <w:t>19</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82">
              <w:r>
                <w:rPr>
                  <w:rStyle w:val="InternetLink"/>
                  <w:rFonts w:ascii="Times New Roman;serif" w:hAnsi="Times New Roman;serif"/>
                  <w:b w:val="false"/>
                  <w:strike w:val="false"/>
                  <w:dstrike w:val="false"/>
                  <w:color w:val="000000"/>
                  <w:sz w:val="22"/>
                  <w:u w:val="none"/>
                  <w:effect w:val="none"/>
                </w:rPr>
                <w:t>ARTICLE 11.ADMINISTRATION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82">
              <w:r>
                <w:rPr>
                  <w:rStyle w:val="InternetLink"/>
                  <w:rFonts w:ascii="Times New Roman;serif" w:hAnsi="Times New Roman;serif"/>
                  <w:b w:val="false"/>
                  <w:strike w:val="false"/>
                  <w:dstrike w:val="false"/>
                  <w:color w:val="000000"/>
                  <w:sz w:val="22"/>
                  <w:u w:val="none"/>
                  <w:effect w:val="none"/>
                </w:rPr>
                <w:t>20</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85">
              <w:r>
                <w:rPr>
                  <w:rStyle w:val="InternetLink"/>
                  <w:rFonts w:ascii="Times New Roman;serif" w:hAnsi="Times New Roman;serif"/>
                  <w:b w:val="false"/>
                  <w:strike w:val="false"/>
                  <w:dstrike w:val="false"/>
                  <w:color w:val="000000"/>
                  <w:sz w:val="22"/>
                  <w:u w:val="none"/>
                  <w:effect w:val="none"/>
                </w:rPr>
                <w:t xml:space="preserve">11.1      Administrator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85">
              <w:r>
                <w:rPr>
                  <w:rStyle w:val="InternetLink"/>
                  <w:rFonts w:ascii="Times New Roman;serif" w:hAnsi="Times New Roman;serif"/>
                  <w:b w:val="false"/>
                  <w:strike w:val="false"/>
                  <w:dstrike w:val="false"/>
                  <w:color w:val="000000"/>
                  <w:sz w:val="22"/>
                  <w:u w:val="none"/>
                  <w:effect w:val="none"/>
                </w:rPr>
                <w:t>20</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88">
              <w:r>
                <w:rPr>
                  <w:rStyle w:val="InternetLink"/>
                  <w:rFonts w:ascii="Times New Roman;serif" w:hAnsi="Times New Roman;serif"/>
                  <w:b w:val="false"/>
                  <w:strike w:val="false"/>
                  <w:dstrike w:val="false"/>
                  <w:color w:val="000000"/>
                  <w:sz w:val="22"/>
                  <w:u w:val="none"/>
                  <w:effect w:val="none"/>
                </w:rPr>
                <w:t>11.2      Duties and Powers of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88">
              <w:r>
                <w:rPr>
                  <w:rStyle w:val="InternetLink"/>
                  <w:rFonts w:ascii="Times New Roman;serif" w:hAnsi="Times New Roman;serif"/>
                  <w:b w:val="false"/>
                  <w:strike w:val="false"/>
                  <w:dstrike w:val="false"/>
                  <w:color w:val="000000"/>
                  <w:sz w:val="22"/>
                  <w:u w:val="none"/>
                  <w:effect w:val="none"/>
                </w:rPr>
                <w:t>20</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91">
              <w:r>
                <w:rPr>
                  <w:rStyle w:val="InternetLink"/>
                  <w:rFonts w:ascii="Times New Roman;serif" w:hAnsi="Times New Roman;serif"/>
                  <w:b w:val="false"/>
                  <w:strike w:val="false"/>
                  <w:dstrike w:val="false"/>
                  <w:color w:val="000000"/>
                  <w:sz w:val="22"/>
                  <w:u w:val="none"/>
                  <w:effect w:val="none"/>
                </w:rPr>
                <w:t>11.3      Action by the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91">
              <w:r>
                <w:rPr>
                  <w:rStyle w:val="InternetLink"/>
                  <w:rFonts w:ascii="Times New Roman;serif" w:hAnsi="Times New Roman;serif"/>
                  <w:b w:val="false"/>
                  <w:strike w:val="false"/>
                  <w:dstrike w:val="false"/>
                  <w:color w:val="000000"/>
                  <w:sz w:val="22"/>
                  <w:u w:val="none"/>
                  <w:effect w:val="none"/>
                </w:rPr>
                <w:t>20</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94">
              <w:r>
                <w:rPr>
                  <w:rStyle w:val="InternetLink"/>
                  <w:rFonts w:ascii="Times New Roman;serif" w:hAnsi="Times New Roman;serif"/>
                  <w:b w:val="false"/>
                  <w:strike w:val="false"/>
                  <w:dstrike w:val="false"/>
                  <w:color w:val="000000"/>
                  <w:sz w:val="22"/>
                  <w:u w:val="none"/>
                  <w:effect w:val="none"/>
                </w:rPr>
                <w:t>11.4      Authority of Administrator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94">
              <w:r>
                <w:rPr>
                  <w:rStyle w:val="InternetLink"/>
                  <w:rFonts w:ascii="Times New Roman;serif" w:hAnsi="Times New Roman;serif"/>
                  <w:b w:val="false"/>
                  <w:strike w:val="false"/>
                  <w:dstrike w:val="false"/>
                  <w:color w:val="000000"/>
                  <w:sz w:val="22"/>
                  <w:u w:val="none"/>
                  <w:effect w:val="none"/>
                </w:rPr>
                <w:t>21</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397">
              <w:r>
                <w:rPr>
                  <w:rStyle w:val="InternetLink"/>
                  <w:rFonts w:ascii="Times New Roman;serif" w:hAnsi="Times New Roman;serif"/>
                  <w:b w:val="false"/>
                  <w:strike w:val="false"/>
                  <w:dstrike w:val="false"/>
                  <w:color w:val="000000"/>
                  <w:sz w:val="22"/>
                  <w:u w:val="none"/>
                  <w:effect w:val="none"/>
                </w:rPr>
                <w:t>11.5      Decisions Binding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397">
              <w:r>
                <w:rPr>
                  <w:rStyle w:val="InternetLink"/>
                  <w:rFonts w:ascii="Times New Roman;serif" w:hAnsi="Times New Roman;serif"/>
                  <w:b w:val="false"/>
                  <w:strike w:val="false"/>
                  <w:dstrike w:val="false"/>
                  <w:color w:val="000000"/>
                  <w:sz w:val="22"/>
                  <w:u w:val="none"/>
                  <w:effect w:val="none"/>
                </w:rPr>
                <w:t>21</w:t>
              </w:r>
            </w:hyperlink>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50"/>
        <w:gridCol w:w="3077"/>
        <w:gridCol w:w="3085"/>
        <w:gridCol w:w="114"/>
        <w:gridCol w:w="114"/>
        <w:gridCol w:w="165"/>
      </w:tblGrid>
      <w:tr>
        <w:trPr/>
        <w:tc>
          <w:tcPr>
            <w:tcW w:w="3650"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00">
              <w:r>
                <w:rPr>
                  <w:rStyle w:val="InternetLink"/>
                  <w:rFonts w:ascii="Times New Roman;serif" w:hAnsi="Times New Roman;serif"/>
                  <w:b w:val="false"/>
                  <w:strike w:val="false"/>
                  <w:dstrike w:val="false"/>
                  <w:color w:val="000000"/>
                  <w:sz w:val="22"/>
                  <w:u w:val="none"/>
                  <w:effect w:val="none"/>
                </w:rPr>
                <w:t>11.6      Delegation of Authority</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00">
              <w:r>
                <w:rPr>
                  <w:rStyle w:val="InternetLink"/>
                  <w:rFonts w:ascii="Times New Roman;serif" w:hAnsi="Times New Roman;serif"/>
                  <w:b w:val="false"/>
                  <w:strike w:val="false"/>
                  <w:dstrike w:val="false"/>
                  <w:color w:val="000000"/>
                  <w:sz w:val="22"/>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03">
              <w:r>
                <w:rPr>
                  <w:rStyle w:val="InternetLink"/>
                  <w:rFonts w:ascii="Times New Roman;serif" w:hAnsi="Times New Roman;serif"/>
                  <w:b w:val="false"/>
                  <w:strike w:val="false"/>
                  <w:dstrike w:val="false"/>
                  <w:color w:val="000000"/>
                  <w:sz w:val="22"/>
                  <w:u w:val="none"/>
                  <w:effect w:val="none"/>
                </w:rPr>
                <w:t>ARTICLE 12.MISCELLANEOUS PROVISIONS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03">
              <w:r>
                <w:rPr>
                  <w:rStyle w:val="InternetLink"/>
                  <w:rFonts w:ascii="Times New Roman;serif" w:hAnsi="Times New Roman;serif"/>
                  <w:b w:val="false"/>
                  <w:strike w:val="false"/>
                  <w:dstrike w:val="false"/>
                  <w:color w:val="000000"/>
                  <w:sz w:val="22"/>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06">
              <w:r>
                <w:rPr>
                  <w:rStyle w:val="InternetLink"/>
                  <w:rFonts w:ascii="Times New Roman;serif" w:hAnsi="Times New Roman;serif"/>
                  <w:b w:val="false"/>
                  <w:strike w:val="false"/>
                  <w:dstrike w:val="false"/>
                  <w:color w:val="000000"/>
                  <w:sz w:val="22"/>
                  <w:u w:val="none"/>
                  <w:effect w:val="none"/>
                </w:rPr>
                <w:t>12.1      Amendment, Suspension or Termination of the Plan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06">
              <w:r>
                <w:rPr>
                  <w:rStyle w:val="InternetLink"/>
                  <w:rFonts w:ascii="Times New Roman;serif" w:hAnsi="Times New Roman;serif"/>
                  <w:b w:val="false"/>
                  <w:strike w:val="false"/>
                  <w:dstrike w:val="false"/>
                  <w:color w:val="000000"/>
                  <w:sz w:val="22"/>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pPr>
            <w:hyperlink w:anchor="i50ea0bd09601496c8a5cce63b3187193_409">
              <w:r>
                <w:rPr>
                  <w:rStyle w:val="InternetLink"/>
                  <w:rFonts w:ascii="Times New Roman;serif" w:hAnsi="Times New Roman;serif"/>
                  <w:b w:val="false"/>
                  <w:strike w:val="false"/>
                  <w:dstrike w:val="false"/>
                  <w:color w:val="000000"/>
                  <w:sz w:val="22"/>
                  <w:u w:val="none"/>
                  <w:effect w:val="none"/>
                </w:rPr>
                <w:t>12.2      Changes in Common Stock or Assets of the Company, Acquisition or Liquidation of the Company and Other Corporate Events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09">
              <w:r>
                <w:rPr>
                  <w:rStyle w:val="InternetLink"/>
                  <w:rFonts w:ascii="Times New Roman;serif" w:hAnsi="Times New Roman;serif"/>
                  <w:b w:val="false"/>
                  <w:strike w:val="false"/>
                  <w:dstrike w:val="false"/>
                  <w:color w:val="000000"/>
                  <w:sz w:val="22"/>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12">
              <w:r>
                <w:rPr>
                  <w:rStyle w:val="InternetLink"/>
                  <w:rFonts w:ascii="Times New Roman;serif" w:hAnsi="Times New Roman;serif"/>
                  <w:b w:val="false"/>
                  <w:strike w:val="false"/>
                  <w:dstrike w:val="false"/>
                  <w:color w:val="000000"/>
                  <w:sz w:val="22"/>
                  <w:u w:val="none"/>
                  <w:effect w:val="none"/>
                </w:rPr>
                <w:t>12.3      Approval of Plan by Stockholders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12">
              <w:r>
                <w:rPr>
                  <w:rStyle w:val="InternetLink"/>
                  <w:rFonts w:ascii="Times New Roman;serif" w:hAnsi="Times New Roman;serif"/>
                  <w:b w:val="false"/>
                  <w:strike w:val="false"/>
                  <w:dstrike w:val="false"/>
                  <w:color w:val="000000"/>
                  <w:sz w:val="22"/>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15">
              <w:r>
                <w:rPr>
                  <w:rStyle w:val="InternetLink"/>
                  <w:rFonts w:ascii="Times New Roman;serif" w:hAnsi="Times New Roman;serif"/>
                  <w:b w:val="false"/>
                  <w:strike w:val="false"/>
                  <w:dstrike w:val="false"/>
                  <w:color w:val="000000"/>
                  <w:sz w:val="22"/>
                  <w:u w:val="none"/>
                  <w:effect w:val="none"/>
                </w:rPr>
                <w:t>12.4      No Stockholders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15">
              <w:r>
                <w:rPr>
                  <w:rStyle w:val="InternetLink"/>
                  <w:rFonts w:ascii="Times New Roman;serif" w:hAnsi="Times New Roman;serif"/>
                  <w:b w:val="false"/>
                  <w:strike w:val="false"/>
                  <w:dstrike w:val="false"/>
                  <w:color w:val="000000"/>
                  <w:sz w:val="22"/>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18">
              <w:r>
                <w:rPr>
                  <w:rStyle w:val="InternetLink"/>
                  <w:rFonts w:ascii="Times New Roman;serif" w:hAnsi="Times New Roman;serif"/>
                  <w:b w:val="false"/>
                  <w:strike w:val="false"/>
                  <w:dstrike w:val="false"/>
                  <w:color w:val="000000"/>
                  <w:sz w:val="22"/>
                  <w:u w:val="none"/>
                  <w:effect w:val="none"/>
                </w:rPr>
                <w:t>12.5      Paperless Administration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18">
              <w:r>
                <w:rPr>
                  <w:rStyle w:val="InternetLink"/>
                  <w:rFonts w:ascii="Times New Roman;serif" w:hAnsi="Times New Roman;serif"/>
                  <w:b w:val="false"/>
                  <w:strike w:val="false"/>
                  <w:dstrike w:val="false"/>
                  <w:color w:val="000000"/>
                  <w:sz w:val="22"/>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21">
              <w:r>
                <w:rPr>
                  <w:rStyle w:val="InternetLink"/>
                  <w:rFonts w:ascii="Times New Roman;serif" w:hAnsi="Times New Roman;serif"/>
                  <w:b w:val="false"/>
                  <w:strike w:val="false"/>
                  <w:dstrike w:val="false"/>
                  <w:color w:val="000000"/>
                  <w:sz w:val="22"/>
                  <w:u w:val="none"/>
                  <w:effect w:val="none"/>
                </w:rPr>
                <w:t xml:space="preserve">12.6      Effect of Plan upon Other Compensation Plans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21">
              <w:r>
                <w:rPr>
                  <w:rStyle w:val="InternetLink"/>
                  <w:rFonts w:ascii="Times New Roman;serif" w:hAnsi="Times New Roman;serif"/>
                  <w:b w:val="false"/>
                  <w:strike w:val="false"/>
                  <w:dstrike w:val="false"/>
                  <w:color w:val="000000"/>
                  <w:sz w:val="22"/>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24">
              <w:r>
                <w:rPr>
                  <w:rStyle w:val="InternetLink"/>
                  <w:rFonts w:ascii="Times New Roman;serif" w:hAnsi="Times New Roman;serif"/>
                  <w:b w:val="false"/>
                  <w:strike w:val="false"/>
                  <w:dstrike w:val="false"/>
                  <w:color w:val="000000"/>
                  <w:sz w:val="22"/>
                  <w:u w:val="none"/>
                  <w:effect w:val="none"/>
                </w:rPr>
                <w:t>12.7      Compliance with Laws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24">
              <w:r>
                <w:rPr>
                  <w:rStyle w:val="InternetLink"/>
                  <w:rFonts w:ascii="Times New Roman;serif" w:hAnsi="Times New Roman;serif"/>
                  <w:b w:val="false"/>
                  <w:strike w:val="false"/>
                  <w:dstrike w:val="false"/>
                  <w:color w:val="000000"/>
                  <w:sz w:val="22"/>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pPr>
            <w:hyperlink w:anchor="i50ea0bd09601496c8a5cce63b3187193_427">
              <w:r>
                <w:rPr>
                  <w:rStyle w:val="InternetLink"/>
                  <w:rFonts w:ascii="Times New Roman;serif" w:hAnsi="Times New Roman;serif"/>
                  <w:b w:val="false"/>
                  <w:strike w:val="false"/>
                  <w:dstrike w:val="false"/>
                  <w:color w:val="000000"/>
                  <w:sz w:val="22"/>
                  <w:u w:val="none"/>
                  <w:effect w:val="none"/>
                </w:rPr>
                <w:t>12.8      Titles and Headings, References to Sections of the Code, Exchange Act or Securities Act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27">
              <w:r>
                <w:rPr>
                  <w:rStyle w:val="InternetLink"/>
                  <w:rFonts w:ascii="Times New Roman;serif" w:hAnsi="Times New Roman;serif"/>
                  <w:b w:val="false"/>
                  <w:strike w:val="false"/>
                  <w:dstrike w:val="false"/>
                  <w:color w:val="000000"/>
                  <w:sz w:val="22"/>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30">
              <w:r>
                <w:rPr>
                  <w:rStyle w:val="InternetLink"/>
                  <w:rFonts w:ascii="Times New Roman;serif" w:hAnsi="Times New Roman;serif"/>
                  <w:b w:val="false"/>
                  <w:strike w:val="false"/>
                  <w:dstrike w:val="false"/>
                  <w:color w:val="000000"/>
                  <w:sz w:val="22"/>
                  <w:u w:val="none"/>
                  <w:effect w:val="none"/>
                </w:rPr>
                <w:t>12.9      Governing Law</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30">
              <w:r>
                <w:rPr>
                  <w:rStyle w:val="InternetLink"/>
                  <w:rFonts w:ascii="Times New Roman;serif" w:hAnsi="Times New Roman;serif"/>
                  <w:b w:val="false"/>
                  <w:strike w:val="false"/>
                  <w:dstrike w:val="false"/>
                  <w:color w:val="000000"/>
                  <w:sz w:val="22"/>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33">
              <w:r>
                <w:rPr>
                  <w:rStyle w:val="InternetLink"/>
                  <w:rFonts w:ascii="Times New Roman;serif" w:hAnsi="Times New Roman;serif"/>
                  <w:b w:val="false"/>
                  <w:strike w:val="false"/>
                  <w:dstrike w:val="false"/>
                  <w:color w:val="000000"/>
                  <w:sz w:val="22"/>
                  <w:u w:val="none"/>
                  <w:effect w:val="none"/>
                </w:rPr>
                <w:t>12.10    Securities Law and Other Regulatory Compliance</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33">
              <w:r>
                <w:rPr>
                  <w:rStyle w:val="InternetLink"/>
                  <w:rFonts w:ascii="Times New Roman;serif" w:hAnsi="Times New Roman;serif"/>
                  <w:b w:val="false"/>
                  <w:strike w:val="false"/>
                  <w:dstrike w:val="false"/>
                  <w:color w:val="000000"/>
                  <w:sz w:val="22"/>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36">
              <w:r>
                <w:rPr>
                  <w:rStyle w:val="InternetLink"/>
                  <w:rFonts w:ascii="Times New Roman;serif" w:hAnsi="Times New Roman;serif"/>
                  <w:b w:val="false"/>
                  <w:strike w:val="false"/>
                  <w:dstrike w:val="false"/>
                  <w:color w:val="000000"/>
                  <w:sz w:val="22"/>
                  <w:u w:val="none"/>
                  <w:effect w:val="none"/>
                </w:rPr>
                <w:t>12.11    Section 409A</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36">
              <w:r>
                <w:rPr>
                  <w:rStyle w:val="InternetLink"/>
                  <w:rFonts w:ascii="Times New Roman;serif" w:hAnsi="Times New Roman;serif"/>
                  <w:b w:val="false"/>
                  <w:strike w:val="false"/>
                  <w:dstrike w:val="false"/>
                  <w:color w:val="000000"/>
                  <w:sz w:val="22"/>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39">
              <w:r>
                <w:rPr>
                  <w:rStyle w:val="InternetLink"/>
                  <w:rFonts w:ascii="Times New Roman;serif" w:hAnsi="Times New Roman;serif"/>
                  <w:b w:val="false"/>
                  <w:strike w:val="false"/>
                  <w:dstrike w:val="false"/>
                  <w:color w:val="000000"/>
                  <w:sz w:val="22"/>
                  <w:u w:val="none"/>
                  <w:effect w:val="none"/>
                </w:rPr>
                <w:t>12.12    No Rights to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39">
              <w:r>
                <w:rPr>
                  <w:rStyle w:val="InternetLink"/>
                  <w:rFonts w:ascii="Times New Roman;serif" w:hAnsi="Times New Roman;serif"/>
                  <w:b w:val="false"/>
                  <w:strike w:val="false"/>
                  <w:dstrike w:val="false"/>
                  <w:color w:val="000000"/>
                  <w:sz w:val="22"/>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42">
              <w:r>
                <w:rPr>
                  <w:rStyle w:val="InternetLink"/>
                  <w:rFonts w:ascii="Times New Roman;serif" w:hAnsi="Times New Roman;serif"/>
                  <w:b w:val="false"/>
                  <w:strike w:val="false"/>
                  <w:dstrike w:val="false"/>
                  <w:color w:val="000000"/>
                  <w:sz w:val="22"/>
                  <w:u w:val="none"/>
                  <w:effect w:val="none"/>
                </w:rPr>
                <w:t>12.13    Unfunded Status of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42">
              <w:r>
                <w:rPr>
                  <w:rStyle w:val="InternetLink"/>
                  <w:rFonts w:ascii="Times New Roman;serif" w:hAnsi="Times New Roman;serif"/>
                  <w:b w:val="false"/>
                  <w:strike w:val="false"/>
                  <w:dstrike w:val="false"/>
                  <w:color w:val="000000"/>
                  <w:sz w:val="22"/>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45">
              <w:r>
                <w:rPr>
                  <w:rStyle w:val="InternetLink"/>
                  <w:rFonts w:ascii="Times New Roman;serif" w:hAnsi="Times New Roman;serif"/>
                  <w:b w:val="false"/>
                  <w:strike w:val="false"/>
                  <w:dstrike w:val="false"/>
                  <w:color w:val="000000"/>
                  <w:sz w:val="22"/>
                  <w:u w:val="none"/>
                  <w:effect w:val="none"/>
                </w:rPr>
                <w:t>12.14    Indemnification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45">
              <w:r>
                <w:rPr>
                  <w:rStyle w:val="InternetLink"/>
                  <w:rFonts w:ascii="Times New Roman;serif" w:hAnsi="Times New Roman;serif"/>
                  <w:b w:val="false"/>
                  <w:strike w:val="false"/>
                  <w:dstrike w:val="false"/>
                  <w:color w:val="000000"/>
                  <w:sz w:val="22"/>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48">
              <w:r>
                <w:rPr>
                  <w:rStyle w:val="InternetLink"/>
                  <w:rFonts w:ascii="Times New Roman;serif" w:hAnsi="Times New Roman;serif"/>
                  <w:b w:val="false"/>
                  <w:strike w:val="false"/>
                  <w:dstrike w:val="false"/>
                  <w:color w:val="000000"/>
                  <w:sz w:val="22"/>
                  <w:u w:val="none"/>
                  <w:effect w:val="none"/>
                </w:rPr>
                <w:t>12.15    Relationship to other Benefits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48">
              <w:r>
                <w:rPr>
                  <w:rStyle w:val="InternetLink"/>
                  <w:rFonts w:ascii="Times New Roman;serif" w:hAnsi="Times New Roman;serif"/>
                  <w:b w:val="false"/>
                  <w:strike w:val="false"/>
                  <w:dstrike w:val="false"/>
                  <w:color w:val="000000"/>
                  <w:sz w:val="22"/>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51">
              <w:r>
                <w:rPr>
                  <w:rStyle w:val="InternetLink"/>
                  <w:rFonts w:ascii="Times New Roman;serif" w:hAnsi="Times New Roman;serif"/>
                  <w:b w:val="false"/>
                  <w:strike w:val="false"/>
                  <w:dstrike w:val="false"/>
                  <w:color w:val="000000"/>
                  <w:sz w:val="22"/>
                  <w:u w:val="none"/>
                  <w:effect w:val="none"/>
                </w:rPr>
                <w:t>12.16    Expenses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51">
              <w:r>
                <w:rPr>
                  <w:rStyle w:val="InternetLink"/>
                  <w:rFonts w:ascii="Times New Roman;serif" w:hAnsi="Times New Roman;serif"/>
                  <w:b w:val="false"/>
                  <w:strike w:val="false"/>
                  <w:dstrike w:val="false"/>
                  <w:color w:val="000000"/>
                  <w:sz w:val="22"/>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54">
              <w:r>
                <w:rPr>
                  <w:rStyle w:val="InternetLink"/>
                  <w:rFonts w:ascii="Times New Roman;serif" w:hAnsi="Times New Roman;serif"/>
                  <w:b w:val="false"/>
                  <w:strike w:val="false"/>
                  <w:dstrike w:val="false"/>
                  <w:color w:val="000000"/>
                  <w:sz w:val="22"/>
                  <w:u w:val="none"/>
                  <w:effect w:val="none"/>
                </w:rPr>
                <w:t>12.17    Escrow; Pledge of Shares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54">
              <w:r>
                <w:rPr>
                  <w:rStyle w:val="InternetLink"/>
                  <w:rFonts w:ascii="Times New Roman;serif" w:hAnsi="Times New Roman;serif"/>
                  <w:b w:val="false"/>
                  <w:strike w:val="false"/>
                  <w:dstrike w:val="false"/>
                  <w:color w:val="000000"/>
                  <w:sz w:val="22"/>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57">
              <w:r>
                <w:rPr>
                  <w:rStyle w:val="InternetLink"/>
                  <w:rFonts w:ascii="Times New Roman;serif" w:hAnsi="Times New Roman;serif"/>
                  <w:b w:val="false"/>
                  <w:strike w:val="false"/>
                  <w:dstrike w:val="false"/>
                  <w:color w:val="000000"/>
                  <w:sz w:val="22"/>
                  <w:u w:val="none"/>
                  <w:effect w:val="none"/>
                </w:rPr>
                <w:t>12.18    No Obligation to Employ</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57">
              <w:r>
                <w:rPr>
                  <w:rStyle w:val="InternetLink"/>
                  <w:rFonts w:ascii="Times New Roman;serif" w:hAnsi="Times New Roman;serif"/>
                  <w:b w:val="false"/>
                  <w:strike w:val="false"/>
                  <w:dstrike w:val="false"/>
                  <w:color w:val="000000"/>
                  <w:sz w:val="22"/>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ea0bd09601496c8a5cce63b3187193_460">
              <w:r>
                <w:rPr>
                  <w:rStyle w:val="InternetLink"/>
                  <w:rFonts w:ascii="Times New Roman;serif" w:hAnsi="Times New Roman;serif"/>
                  <w:b w:val="false"/>
                  <w:strike w:val="false"/>
                  <w:dstrike w:val="false"/>
                  <w:color w:val="000000"/>
                  <w:sz w:val="22"/>
                  <w:u w:val="none"/>
                  <w:effect w:val="none"/>
                </w:rPr>
                <w:t>12.19    Insider Trading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ea0bd09601496c8a5cce63b3187193_460">
              <w:r>
                <w:rPr>
                  <w:rStyle w:val="InternetLink"/>
                  <w:rFonts w:ascii="Times New Roman;serif" w:hAnsi="Times New Roman;serif"/>
                  <w:b w:val="false"/>
                  <w:strike w:val="false"/>
                  <w:dstrike w:val="false"/>
                  <w:color w:val="000000"/>
                  <w:sz w:val="22"/>
                  <w:u w:val="none"/>
                  <w:effect w:val="none"/>
                </w:rPr>
                <w:t>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GLOBUS MEDICAL, INC.</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PURPOSE</w:t>
      </w:r>
    </w:p>
    <w:p>
      <w:pPr>
        <w:pStyle w:val="TextBody"/>
        <w:bidi w:val="0"/>
        <w:spacing w:lineRule="auto" w:line="288" w:before="0" w:after="240"/>
        <w:jc w:val="both"/>
        <w:rPr/>
      </w:pPr>
      <w:r>
        <w:rPr>
          <w:rFonts w:ascii="Times New Roman;serif" w:hAnsi="Times New Roman;serif"/>
          <w:b w:val="false"/>
          <w:color w:val="000000"/>
          <w:sz w:val="22"/>
        </w:rPr>
        <w:t>The purpose of the Globus Medical, Inc. 2021 Equity Incentive Plan (as it may be amended or restated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is to promote the success and enhance the value of Globus Medical,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by linking the individual interests of the Non-Employee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Non-Employee Directors, Employees, and Consultants upon whose judgment, interest, and special effort the successful conduct of the Company’s operation is largely dependent. The Plan provides a mechanism through which the Company may grant equity and equity-based awards as well as cash bonus and other cash awards to Eligible Individuals.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Plan is a successor to the Prior Plan (as defined below). No additional grants shall made under the Prior Plan after the Effective Date. Outstanding grants under the Prior Plan shall continue in effect according to their terms, consistent with the applicable terms of the Prior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DEFINITIONS AND CONSTRUCTION</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Wherever the following terms are used in the Plan they shall have the meanings specified below, unless the context clearly indicates otherwise. The singular pronoun shall include the plural where the context so indicates.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 “</w:t>
      </w:r>
      <w:r>
        <w:rPr>
          <w:rFonts w:ascii="Times New Roman;serif" w:hAnsi="Times New Roman;serif"/>
          <w:b/>
          <w:i/>
          <w:color w:val="000000"/>
          <w:sz w:val="22"/>
        </w:rPr>
        <w:t>Administrator</w:t>
      </w:r>
      <w:r>
        <w:rPr>
          <w:color w:val="000000"/>
        </w:rPr>
        <w:t xml:space="preserve">” </w:t>
      </w:r>
      <w:r>
        <w:rPr>
          <w:rFonts w:ascii="Times New Roman;serif" w:hAnsi="Times New Roman;serif"/>
          <w:b w:val="false"/>
          <w:color w:val="000000"/>
          <w:sz w:val="22"/>
        </w:rPr>
        <w:t xml:space="preserve">shall mean the entity that conducts the general administration of the Plan as provided in Article 11. With reference to the duties of the Committee under the Plan which have been delegated to one or more persons pursuant to Section 11.6, or that the Board has assumed, the term “Administrator” shall refer to such person(s) or the Board unless such delegation has been revoked or the Board has terminated the assumption of such duties.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 “</w:t>
      </w:r>
      <w:r>
        <w:rPr>
          <w:rFonts w:ascii="Times New Roman;serif" w:hAnsi="Times New Roman;serif"/>
          <w:b/>
          <w:i/>
          <w:color w:val="000000"/>
          <w:sz w:val="22"/>
        </w:rPr>
        <w:t>Applicable Accounting Standards</w:t>
      </w:r>
      <w:r>
        <w:rPr>
          <w:color w:val="000000"/>
        </w:rPr>
        <w:t xml:space="preserve">” </w:t>
      </w:r>
      <w:r>
        <w:rPr>
          <w:rFonts w:ascii="Times New Roman;serif" w:hAnsi="Times New Roman;serif"/>
          <w:b w:val="false"/>
          <w:color w:val="000000"/>
          <w:sz w:val="22"/>
        </w:rPr>
        <w:t>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 “</w:t>
      </w:r>
      <w:r>
        <w:rPr>
          <w:rFonts w:ascii="Times New Roman;serif" w:hAnsi="Times New Roman;serif"/>
          <w:b/>
          <w:i/>
          <w:color w:val="000000"/>
          <w:sz w:val="22"/>
        </w:rPr>
        <w:t>Applicable Law</w:t>
      </w:r>
      <w:r>
        <w:rPr>
          <w:color w:val="000000"/>
        </w:rPr>
        <w:t xml:space="preserve">” </w:t>
      </w:r>
      <w:r>
        <w:rPr>
          <w:rFonts w:ascii="Times New Roman;serif" w:hAnsi="Times New Roman;serif"/>
          <w:b w:val="false"/>
          <w:color w:val="000000"/>
          <w:sz w:val="22"/>
        </w:rPr>
        <w:t xml:space="preserve">shall mean the applicable provisions of the Code, the Securities Act, the Exchange Act and any other federal, state or foreign corporate, securities or tax or other laws, rules, requirements or regulations, the rules of any securities exchange or automated quotation system on which the Shares are listed, quoted or traded and any other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 “</w:t>
      </w:r>
      <w:r>
        <w:rPr>
          <w:rFonts w:ascii="Times New Roman;serif" w:hAnsi="Times New Roman;serif"/>
          <w:b/>
          <w:i/>
          <w:color w:val="000000"/>
          <w:sz w:val="22"/>
        </w:rPr>
        <w:t>Award</w:t>
      </w:r>
      <w:r>
        <w:rPr>
          <w:color w:val="000000"/>
        </w:rPr>
        <w:t xml:space="preserve">” </w:t>
      </w:r>
      <w:r>
        <w:rPr>
          <w:rFonts w:ascii="Times New Roman;serif" w:hAnsi="Times New Roman;serif"/>
          <w:b w:val="false"/>
          <w:color w:val="000000"/>
          <w:sz w:val="22"/>
        </w:rPr>
        <w:t>shall mean an Option, a Restricted Stock award, a Restricted Stock Unit award, a Performance Award, a Stock Payment award or a Stock Appreciation Right, which may be awarded or granted under the Plan (collectively, “</w:t>
      </w:r>
      <w:r>
        <w:rPr>
          <w:rFonts w:ascii="Times New Roman;serif" w:hAnsi="Times New Roman;serif"/>
          <w:b/>
          <w:i/>
          <w:color w:val="000000"/>
          <w:sz w:val="22"/>
        </w:rPr>
        <w:t>Awards</w:t>
      </w:r>
      <w:r>
        <w:rPr>
          <w:color w:val="000000"/>
        </w:rPr>
        <w:t>”</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2.5 “</w:t>
      </w:r>
      <w:r>
        <w:rPr>
          <w:rFonts w:ascii="Times New Roman;serif" w:hAnsi="Times New Roman;serif"/>
          <w:b/>
          <w:i/>
          <w:color w:val="000000"/>
          <w:sz w:val="22"/>
        </w:rPr>
        <w:t>Award Agreement</w:t>
      </w:r>
      <w:r>
        <w:rPr>
          <w:color w:val="000000"/>
        </w:rPr>
        <w:t xml:space="preserve">” </w:t>
      </w:r>
      <w:r>
        <w:rPr>
          <w:rFonts w:ascii="Times New Roman;serif" w:hAnsi="Times New Roman;serif"/>
          <w:b w:val="false"/>
          <w:color w:val="000000"/>
          <w:sz w:val="22"/>
        </w:rPr>
        <w:t xml:space="preserve">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val="false"/>
          <w:color w:val="000000"/>
          <w:sz w:val="22"/>
        </w:rPr>
        <w:t>2.6</w:t>
      </w:r>
      <w:r>
        <w:rPr>
          <w:color w:val="000000"/>
        </w:rPr>
        <w:t xml:space="preserve"> “</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 xml:space="preserve">shall mean the Board of Directors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2.7 “</w:t>
      </w:r>
      <w:r>
        <w:rPr>
          <w:rFonts w:ascii="Times New Roman;serif" w:hAnsi="Times New Roman;serif"/>
          <w:b/>
          <w:i/>
          <w:color w:val="000000"/>
          <w:sz w:val="22"/>
        </w:rPr>
        <w:t>Change in Control</w:t>
      </w:r>
      <w:r>
        <w:rPr>
          <w:color w:val="000000"/>
        </w:rPr>
        <w:t xml:space="preserve">” </w:t>
      </w:r>
      <w:r>
        <w:rPr>
          <w:rFonts w:ascii="Times New Roman;serif" w:hAnsi="Times New Roman;serif"/>
          <w:b w:val="false"/>
          <w:color w:val="000000"/>
          <w:sz w:val="22"/>
        </w:rPr>
        <w:t xml:space="preserve">shall mean and includes each of the following: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 transaction or series of transactions (other than an offering of Common Stock to the general public through a registration statement filed with the Securities and Exchange Commission) whereby any “person” or </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2.7(a) or Section 2.7(c))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 </w:t>
      </w:r>
    </w:p>
    <w:p>
      <w:pPr>
        <w:pStyle w:val="TextBody"/>
        <w:bidi w:val="0"/>
        <w:spacing w:lineRule="auto" w:line="288" w:before="0" w:after="16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that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serif" w:hAnsi="Times New Roman;serif"/>
          <w:b/>
          <w:i/>
          <w:color w:val="000000"/>
          <w:sz w:val="22"/>
        </w:rPr>
        <w:t>Successor Entity</w:t>
      </w:r>
      <w:r>
        <w:rPr>
          <w:color w:val="000000"/>
        </w:rPr>
        <w:t>”</w:t>
      </w:r>
      <w:r>
        <w:rPr>
          <w:rFonts w:ascii="Times New Roman;serif" w:hAnsi="Times New Roman;serif"/>
          <w:b w:val="false"/>
          <w:color w:val="000000"/>
          <w:sz w:val="22"/>
        </w:rPr>
        <w:t xml:space="preserve">)) directly or indirectly, at least a majority of the combined voting power of the Successor Entity’s outstanding voting securities immediately after the transaction, and </w:t>
      </w:r>
    </w:p>
    <w:p>
      <w:pPr>
        <w:pStyle w:val="TextBody"/>
        <w:bidi w:val="0"/>
        <w:spacing w:lineRule="auto" w:line="288" w:before="0" w:after="16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after which no “person” or “related” group of “persons” (as such terms are used in Sections 13(d) and 14(d)(2) of the Exchange Act) beneficially owns voting securities representing 50% or more of the combined voting power of the Successor Entity;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person or related group of persons shall be treated for purposes of this Section 2.7(c)(ii) as beneficially owning 50% or more of the combined voting power of the Successor Entity solely as a result of the voting power held in the Company prior to the consummation of the transaction; or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Company’s stockholders approve a liquidation or dissolution of the Company. </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 </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2.8 “</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 xml:space="preserve">shall mean the Internal Revenue Code of 1986, as amended from time to time, together with the regulations and official guidance promulgated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2.9 “</w:t>
      </w:r>
      <w:r>
        <w:rPr>
          <w:rFonts w:ascii="Times New Roman;serif" w:hAnsi="Times New Roman;serif"/>
          <w:b/>
          <w:i/>
          <w:color w:val="000000"/>
          <w:sz w:val="22"/>
        </w:rPr>
        <w:t>Committee</w:t>
      </w:r>
      <w:r>
        <w:rPr>
          <w:color w:val="000000"/>
        </w:rPr>
        <w:t xml:space="preserve">” </w:t>
      </w:r>
      <w:r>
        <w:rPr>
          <w:rFonts w:ascii="Times New Roman;serif" w:hAnsi="Times New Roman;serif"/>
          <w:b w:val="false"/>
          <w:color w:val="000000"/>
          <w:sz w:val="22"/>
        </w:rPr>
        <w:t xml:space="preserve">shall mean the Compensation Committee of the Board, or another committee or subcommittee of the Board, appointed as provided in Section 11.1.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2.10</w:t>
      </w:r>
      <w:r>
        <w:rPr>
          <w:color w:val="000000"/>
        </w:rPr>
        <w:t xml:space="preserve"> “</w:t>
      </w:r>
      <w:r>
        <w:rPr>
          <w:rFonts w:ascii="Times New Roman;serif" w:hAnsi="Times New Roman;serif"/>
          <w:b/>
          <w:i/>
          <w:color w:val="000000"/>
          <w:sz w:val="22"/>
        </w:rPr>
        <w:t>Common Stock</w:t>
      </w:r>
      <w:r>
        <w:rPr>
          <w:color w:val="000000"/>
        </w:rPr>
        <w:t xml:space="preserve">” </w:t>
      </w:r>
      <w:r>
        <w:rPr>
          <w:rFonts w:ascii="Times New Roman;serif" w:hAnsi="Times New Roman;serif"/>
          <w:b w:val="false"/>
          <w:color w:val="000000"/>
          <w:sz w:val="22"/>
        </w:rPr>
        <w:t xml:space="preserve">shall mean the Class A common stock of the Company, par value $0.001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2.11</w:t>
      </w:r>
      <w:r>
        <w:rPr>
          <w:color w:val="000000"/>
        </w:rPr>
        <w:t xml:space="preserve"> “</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 xml:space="preserve">shall have the meaning set forth in Article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2.12</w:t>
      </w:r>
      <w:r>
        <w:rPr>
          <w:color w:val="000000"/>
        </w:rPr>
        <w:t xml:space="preserve"> “</w:t>
      </w:r>
      <w:r>
        <w:rPr>
          <w:rFonts w:ascii="Times New Roman;serif" w:hAnsi="Times New Roman;serif"/>
          <w:b/>
          <w:i/>
          <w:color w:val="000000"/>
          <w:sz w:val="22"/>
        </w:rPr>
        <w:t>Consultant</w:t>
      </w:r>
      <w:r>
        <w:rPr>
          <w:color w:val="000000"/>
        </w:rPr>
        <w:t xml:space="preserve">” </w:t>
      </w:r>
      <w:r>
        <w:rPr>
          <w:rFonts w:ascii="Times New Roman;serif" w:hAnsi="Times New Roman;serif"/>
          <w:b w:val="false"/>
          <w:color w:val="000000"/>
          <w:sz w:val="22"/>
        </w:rPr>
        <w:t xml:space="preserve">shall mean any consultant or adviser engaged to provide services to the Company or any Subsidiary that qualifies as a consultant or advisor under the applicable rules of the Securities and Exchange Commission for registration of shares on a Form S-8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2.13 “</w:t>
      </w:r>
      <w:r>
        <w:rPr>
          <w:rFonts w:ascii="Times New Roman;serif" w:hAnsi="Times New Roman;serif"/>
          <w:b/>
          <w:i/>
          <w:color w:val="000000"/>
          <w:sz w:val="22"/>
        </w:rPr>
        <w:t>Director</w:t>
      </w:r>
      <w:r>
        <w:rPr>
          <w:color w:val="000000"/>
        </w:rPr>
        <w:t xml:space="preserve">” </w:t>
      </w:r>
      <w:r>
        <w:rPr>
          <w:rFonts w:ascii="Times New Roman;serif" w:hAnsi="Times New Roman;serif"/>
          <w:b w:val="false"/>
          <w:color w:val="000000"/>
          <w:sz w:val="22"/>
        </w:rPr>
        <w:t xml:space="preserve">shall mean a member of the Board, as constituted from time to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160"/>
        <w:ind w:left="0" w:right="0" w:firstLine="720"/>
        <w:jc w:val="left"/>
        <w:rPr/>
      </w:pPr>
      <w:r>
        <w:rPr>
          <w:rFonts w:ascii="Times New Roman;serif" w:hAnsi="Times New Roman;serif"/>
          <w:b w:val="false"/>
          <w:color w:val="000000"/>
          <w:sz w:val="22"/>
        </w:rPr>
        <w:t>2.14</w:t>
      </w:r>
      <w:r>
        <w:rPr>
          <w:color w:val="000000"/>
        </w:rPr>
        <w:t xml:space="preserve"> “</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 xml:space="preserve">shall mean “disability,” as such term is defined in Section 22(e)(3)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2.15</w:t>
      </w:r>
      <w:r>
        <w:rPr>
          <w:color w:val="000000"/>
        </w:rPr>
        <w:t xml:space="preserve"> “</w:t>
      </w:r>
      <w:r>
        <w:rPr>
          <w:rFonts w:ascii="Times New Roman;serif" w:hAnsi="Times New Roman;serif"/>
          <w:b/>
          <w:i/>
          <w:color w:val="000000"/>
          <w:sz w:val="22"/>
        </w:rPr>
        <w:t>DRO</w:t>
      </w:r>
      <w:r>
        <w:rPr>
          <w:color w:val="000000"/>
        </w:rPr>
        <w:t xml:space="preserve">” </w:t>
      </w:r>
      <w:r>
        <w:rPr>
          <w:rFonts w:ascii="Times New Roman;serif" w:hAnsi="Times New Roman;serif"/>
          <w:b w:val="false"/>
          <w:color w:val="000000"/>
          <w:sz w:val="22"/>
        </w:rPr>
        <w:t xml:space="preserve">shall mean a domestic relations order as defined by the Code or Title I of the Employee Retirement Income Security Act of 1974, as amended from time to time, or the rules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2.16</w:t>
      </w:r>
      <w:r>
        <w:rPr>
          <w:color w:val="000000"/>
        </w:rPr>
        <w:t xml:space="preserve"> “</w:t>
      </w:r>
      <w:r>
        <w:rPr>
          <w:rFonts w:ascii="Times New Roman;serif" w:hAnsi="Times New Roman;serif"/>
          <w:b/>
          <w:i/>
          <w:color w:val="000000"/>
          <w:sz w:val="22"/>
        </w:rPr>
        <w:t>Effective Date</w:t>
      </w:r>
      <w:r>
        <w:rPr>
          <w:color w:val="000000"/>
        </w:rPr>
        <w:t xml:space="preserve">” </w:t>
      </w:r>
      <w:r>
        <w:rPr>
          <w:rFonts w:ascii="Times New Roman;serif" w:hAnsi="Times New Roman;serif"/>
          <w:b w:val="false"/>
          <w:color w:val="000000"/>
          <w:sz w:val="22"/>
        </w:rPr>
        <w:t xml:space="preserve">shall mean the date of the Annual Meeting of the Stockholders to be held on June 3, 2021 or such other date upon which the Company’s stockholders approve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2.17</w:t>
      </w:r>
      <w:r>
        <w:rPr>
          <w:color w:val="000000"/>
        </w:rPr>
        <w:t xml:space="preserve"> “</w:t>
      </w:r>
      <w:r>
        <w:rPr>
          <w:rFonts w:ascii="Times New Roman;serif" w:hAnsi="Times New Roman;serif"/>
          <w:b/>
          <w:i/>
          <w:color w:val="000000"/>
          <w:sz w:val="22"/>
        </w:rPr>
        <w:t>Eligible Individual</w:t>
      </w:r>
      <w:r>
        <w:rPr>
          <w:color w:val="000000"/>
        </w:rPr>
        <w:t xml:space="preserve">” </w:t>
      </w:r>
      <w:r>
        <w:rPr>
          <w:rFonts w:ascii="Times New Roman;serif" w:hAnsi="Times New Roman;serif"/>
          <w:b w:val="false"/>
          <w:color w:val="000000"/>
          <w:sz w:val="22"/>
        </w:rPr>
        <w:t xml:space="preserve">shall mean any person who is an Employee, a Consultant or a Non-Employee Director, as determined by the Administrator.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2.18 “</w:t>
      </w:r>
      <w:r>
        <w:rPr>
          <w:rFonts w:ascii="Times New Roman;serif" w:hAnsi="Times New Roman;serif"/>
          <w:b/>
          <w:i/>
          <w:color w:val="000000"/>
          <w:sz w:val="22"/>
        </w:rPr>
        <w:t>Employee</w:t>
      </w:r>
      <w:r>
        <w:rPr>
          <w:color w:val="000000"/>
        </w:rPr>
        <w:t xml:space="preserve">” </w:t>
      </w:r>
      <w:r>
        <w:rPr>
          <w:rFonts w:ascii="Times New Roman;serif" w:hAnsi="Times New Roman;serif"/>
          <w:b w:val="false"/>
          <w:color w:val="000000"/>
          <w:sz w:val="22"/>
        </w:rPr>
        <w:t xml:space="preserve">shall mean any officer or other employee (as determined in accordance with Section 3401(c) of the Code and the Treasury Regulations thereunder) of the Company or of any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2.19 “</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 xml:space="preserve">shall mean the Securities Exchange Act of 1934, as amended from time to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2.20 “</w:t>
      </w:r>
      <w:r>
        <w:rPr>
          <w:rFonts w:ascii="Times New Roman;serif" w:hAnsi="Times New Roman;serif"/>
          <w:b/>
          <w:i/>
          <w:color w:val="000000"/>
          <w:sz w:val="22"/>
        </w:rPr>
        <w:t>Expiration Date</w:t>
      </w:r>
      <w:r>
        <w:rPr>
          <w:color w:val="000000"/>
        </w:rPr>
        <w:t xml:space="preserve">” </w:t>
      </w:r>
      <w:r>
        <w:rPr>
          <w:rFonts w:ascii="Times New Roman;serif" w:hAnsi="Times New Roman;serif"/>
          <w:b w:val="false"/>
          <w:color w:val="000000"/>
          <w:sz w:val="22"/>
        </w:rPr>
        <w:t xml:space="preserve">shall have the meaning given to such term in Section 12.1(c).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2.21 “</w:t>
      </w:r>
      <w:r>
        <w:rPr>
          <w:rFonts w:ascii="Times New Roman;serif" w:hAnsi="Times New Roman;serif"/>
          <w:b/>
          <w:i/>
          <w:color w:val="000000"/>
          <w:sz w:val="22"/>
        </w:rPr>
        <w:t>Fair Market Value</w:t>
      </w:r>
      <w:r>
        <w:rPr>
          <w:color w:val="000000"/>
        </w:rPr>
        <w:t xml:space="preserve">” </w:t>
      </w:r>
      <w:r>
        <w:rPr>
          <w:rFonts w:ascii="Times New Roman;serif" w:hAnsi="Times New Roman;serif"/>
          <w:b w:val="false"/>
          <w:color w:val="000000"/>
          <w:sz w:val="22"/>
        </w:rPr>
        <w:t xml:space="preserve">shall mean, as of any given date, the value of a Share determined as follows: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 xml:space="preserve">or such other source as the Administrator deems reliable;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 xml:space="preserve">or such other source as the Administrator deems reliable; or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the Common Stock is neither listed on an established securities exchange, national market system or automated quotation system nor regularly quoted by a recognized securities dealer, its Fair Market Value shall be established by the Administrator in good faith by the reasonable application of a reasonable valuation method, taking into account the factors set forth in Treasury Regulation §1.409A-1(b)(5)(iv)(B).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2.22</w:t>
      </w:r>
      <w:r>
        <w:rPr>
          <w:color w:val="000000"/>
        </w:rPr>
        <w:t xml:space="preserve"> “</w:t>
      </w:r>
      <w:r>
        <w:rPr>
          <w:rFonts w:ascii="Times New Roman;serif" w:hAnsi="Times New Roman;serif"/>
          <w:b/>
          <w:i/>
          <w:color w:val="000000"/>
          <w:sz w:val="22"/>
        </w:rPr>
        <w:t>Greater Than 10% Stockholder</w:t>
      </w:r>
      <w:r>
        <w:rPr>
          <w:color w:val="000000"/>
        </w:rPr>
        <w:t xml:space="preserve">” </w:t>
      </w:r>
      <w:r>
        <w:rPr>
          <w:rFonts w:ascii="Times New Roman;serif" w:hAnsi="Times New Roman;serif"/>
          <w:b w:val="false"/>
          <w:color w:val="000000"/>
          <w:sz w:val="22"/>
        </w:rPr>
        <w:t xml:space="preserve">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2.23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 xml:space="preserve">shall mean a person who has been granted an Award.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2.24 “</w:t>
      </w:r>
      <w:r>
        <w:rPr>
          <w:rFonts w:ascii="Times New Roman;serif" w:hAnsi="Times New Roman;serif"/>
          <w:b/>
          <w:i/>
          <w:color w:val="000000"/>
          <w:sz w:val="22"/>
        </w:rPr>
        <w:t>Incentive Stock Option</w:t>
      </w:r>
      <w:r>
        <w:rPr>
          <w:color w:val="000000"/>
        </w:rPr>
        <w:t xml:space="preserve">” </w:t>
      </w:r>
      <w:r>
        <w:rPr>
          <w:rFonts w:ascii="Times New Roman;serif" w:hAnsi="Times New Roman;serif"/>
          <w:b w:val="false"/>
          <w:color w:val="000000"/>
          <w:sz w:val="22"/>
        </w:rPr>
        <w:t xml:space="preserve">shall mean an Option that is intended to qualify as an incentive stock option and conforms to the applicable provisions of Section 422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2.25</w:t>
      </w:r>
      <w:r>
        <w:rPr>
          <w:color w:val="000000"/>
        </w:rPr>
        <w:t xml:space="preserve"> “</w:t>
      </w:r>
      <w:r>
        <w:rPr>
          <w:rFonts w:ascii="Times New Roman;serif" w:hAnsi="Times New Roman;serif"/>
          <w:b/>
          <w:i/>
          <w:color w:val="000000"/>
          <w:sz w:val="22"/>
        </w:rPr>
        <w:t>Misconduct</w:t>
      </w:r>
      <w:r>
        <w:rPr>
          <w:color w:val="000000"/>
        </w:rPr>
        <w:t xml:space="preserve">” </w:t>
      </w:r>
      <w:r>
        <w:rPr>
          <w:rFonts w:ascii="Times New Roman;serif" w:hAnsi="Times New Roman;serif"/>
          <w:b w:val="false"/>
          <w:color w:val="000000"/>
          <w:sz w:val="22"/>
        </w:rPr>
        <w:t xml:space="preserve">shall mean the occurrence of any of, but not limited to, the following: (a) conviction of a Holder of any felony or any crime involving fraud or dishonesty; (b) a Holder’s participation (whether by affirmative act or omission) in a fraud, act or dishonesty or other act of misconduct against the Company and/or any Subsidiary; (c) conduct by a Holder which, based upon a good faith and reasonable factual investigation by the Company (or, if a Holder is an executive officer, by the Board), demonstrates such Holder’s unfitness to serve; (d) a Holder’s violation of any statutory or fiduciary duty, or duty of loyalty owed to the Company and/or any Subsidiary; (e) a Holder’s violation of state or federal law in connection with the Holder’s performance of his or her job which has an adverse effect on the Company and/or any Subsidiary; and (f) a Holder’s violation of Company policy which has a material adverse effect on the Company and/or any Subsidiary. Notwithstanding the foregoing, a Holder’s Disability shall not constitute Misconduct as set forth herein. The determination that a termination is for Misconduct shall be by the Administrator in its sole and </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exclusive judgment and discretion. Notwithstanding the foregoing, if a Holder is a party to an employment or severance agreement with the Company or any Subsidiary in effect as of the date of grant of an Award which defines “Misconduct” or “Cause” or a similar term, “Misconduct” for purposes of the Plan and such Award shall also include the meaning(s) given to such term in such employment or severance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2.26</w:t>
      </w:r>
      <w:r>
        <w:rPr>
          <w:color w:val="000000"/>
        </w:rPr>
        <w:t xml:space="preserve"> “</w:t>
      </w:r>
      <w:r>
        <w:rPr>
          <w:rFonts w:ascii="Times New Roman;serif" w:hAnsi="Times New Roman;serif"/>
          <w:b/>
          <w:i/>
          <w:color w:val="000000"/>
          <w:sz w:val="22"/>
        </w:rPr>
        <w:t>Non-Employee Director</w:t>
      </w:r>
      <w:r>
        <w:rPr>
          <w:color w:val="000000"/>
        </w:rPr>
        <w:t xml:space="preserve">” </w:t>
      </w:r>
      <w:r>
        <w:rPr>
          <w:rFonts w:ascii="Times New Roman;serif" w:hAnsi="Times New Roman;serif"/>
          <w:b w:val="false"/>
          <w:color w:val="000000"/>
          <w:sz w:val="22"/>
        </w:rPr>
        <w:t xml:space="preserve">shall mean a Director of the Company who is not an Employee.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2.27 “</w:t>
      </w:r>
      <w:r>
        <w:rPr>
          <w:rFonts w:ascii="Times New Roman;serif" w:hAnsi="Times New Roman;serif"/>
          <w:b/>
          <w:i/>
          <w:color w:val="000000"/>
          <w:sz w:val="22"/>
        </w:rPr>
        <w:t>Non-Employee Director Compensation Policy</w:t>
      </w:r>
      <w:r>
        <w:rPr>
          <w:color w:val="000000"/>
        </w:rPr>
        <w:t xml:space="preserve">” </w:t>
      </w:r>
      <w:r>
        <w:rPr>
          <w:rFonts w:ascii="Times New Roman;serif" w:hAnsi="Times New Roman;serif"/>
          <w:b w:val="false"/>
          <w:color w:val="000000"/>
          <w:sz w:val="22"/>
        </w:rPr>
        <w:t xml:space="preserve">shall have the meaning set forth in Section 4.6.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2.28 “</w:t>
      </w:r>
      <w:r>
        <w:rPr>
          <w:rFonts w:ascii="Times New Roman;serif" w:hAnsi="Times New Roman;serif"/>
          <w:b/>
          <w:i/>
          <w:color w:val="000000"/>
          <w:sz w:val="22"/>
        </w:rPr>
        <w:t>Non-Qualified Stock Option</w:t>
      </w:r>
      <w:r>
        <w:rPr>
          <w:color w:val="000000"/>
        </w:rPr>
        <w:t xml:space="preserve">” </w:t>
      </w:r>
      <w:r>
        <w:rPr>
          <w:rFonts w:ascii="Times New Roman;serif" w:hAnsi="Times New Roman;serif"/>
          <w:b w:val="false"/>
          <w:color w:val="000000"/>
          <w:sz w:val="22"/>
        </w:rPr>
        <w:t xml:space="preserve">shall mean an Option that is not an Incentive Stock 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2.29</w:t>
      </w:r>
      <w:r>
        <w:rPr>
          <w:color w:val="000000"/>
        </w:rPr>
        <w:t xml:space="preserve"> “</w:t>
      </w:r>
      <w:r>
        <w:rPr>
          <w:rFonts w:ascii="Times New Roman;serif" w:hAnsi="Times New Roman;serif"/>
          <w:b/>
          <w:i/>
          <w:color w:val="000000"/>
          <w:sz w:val="22"/>
        </w:rPr>
        <w:t>Option</w:t>
      </w:r>
      <w:r>
        <w:rPr>
          <w:color w:val="000000"/>
        </w:rPr>
        <w:t xml:space="preserve">” </w:t>
      </w:r>
      <w:r>
        <w:rPr>
          <w:rFonts w:ascii="Times New Roman;serif" w:hAnsi="Times New Roman;serif"/>
          <w:b w:val="false"/>
          <w:color w:val="000000"/>
          <w:sz w:val="22"/>
        </w:rPr>
        <w:t xml:space="preserve">shall mean a right to purchase Shares at a specified exercise price that is granted under Article 5. An Option shall be either a Non-Qualified Stock Option or an Incentive Stock Option;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Options granted to Non-Employee Directors and Consultants shall only be Non-Qualified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2.30</w:t>
      </w:r>
      <w:r>
        <w:rPr>
          <w:color w:val="000000"/>
        </w:rPr>
        <w:t xml:space="preserve"> “</w:t>
      </w:r>
      <w:r>
        <w:rPr>
          <w:rFonts w:ascii="Times New Roman;serif" w:hAnsi="Times New Roman;serif"/>
          <w:b/>
          <w:i/>
          <w:color w:val="000000"/>
          <w:sz w:val="22"/>
        </w:rPr>
        <w:t>Option Term</w:t>
      </w:r>
      <w:r>
        <w:rPr>
          <w:color w:val="000000"/>
        </w:rPr>
        <w:t xml:space="preserve">” </w:t>
      </w:r>
      <w:r>
        <w:rPr>
          <w:rFonts w:ascii="Times New Roman;serif" w:hAnsi="Times New Roman;serif"/>
          <w:b w:val="false"/>
          <w:color w:val="000000"/>
          <w:sz w:val="22"/>
        </w:rPr>
        <w:t xml:space="preserve">shall have the meaning set forth in Section 5.6.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2.31 “</w:t>
      </w:r>
      <w:r>
        <w:rPr>
          <w:rFonts w:ascii="Times New Roman;serif" w:hAnsi="Times New Roman;serif"/>
          <w:b/>
          <w:i/>
          <w:color w:val="000000"/>
          <w:sz w:val="22"/>
        </w:rPr>
        <w:t>Performance Award</w:t>
      </w:r>
      <w:r>
        <w:rPr>
          <w:color w:val="000000"/>
        </w:rPr>
        <w:t xml:space="preserve">” </w:t>
      </w:r>
      <w:r>
        <w:rPr>
          <w:rFonts w:ascii="Times New Roman;serif" w:hAnsi="Times New Roman;serif"/>
          <w:b w:val="false"/>
          <w:color w:val="000000"/>
          <w:sz w:val="22"/>
        </w:rPr>
        <w:t xml:space="preserve">shall mean a cash bonus award, stock bonus award, performance award or incentive award that is paid in cash, Shares or a combination of both, awarded under Section 8.1.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2.32</w:t>
      </w:r>
      <w:r>
        <w:rPr>
          <w:color w:val="000000"/>
        </w:rPr>
        <w:t xml:space="preserve"> “</w:t>
      </w:r>
      <w:r>
        <w:rPr>
          <w:rFonts w:ascii="Times New Roman;serif" w:hAnsi="Times New Roman;serif"/>
          <w:b/>
          <w:i/>
          <w:color w:val="000000"/>
          <w:sz w:val="22"/>
        </w:rPr>
        <w:t>Performance Criteria</w:t>
      </w:r>
      <w:r>
        <w:rPr>
          <w:color w:val="000000"/>
        </w:rPr>
        <w:t xml:space="preserve">” </w:t>
      </w:r>
      <w:r>
        <w:rPr>
          <w:rFonts w:ascii="Times New Roman;serif" w:hAnsi="Times New Roman;serif"/>
          <w:b w:val="false"/>
          <w:color w:val="000000"/>
          <w:sz w:val="22"/>
        </w:rPr>
        <w:t xml:space="preserve">shall mean the criteria (and adjustments) that the Administrator selects for an Award to measure the level of performance during a performance period, as applicable, determined as follows: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Performance Criteria may include, but is not limited to, the following: (i) net earnings (either before or after one or more of the following: (A) interest, (B) taxes, (C) depreciation and (D) amortization); (ii) gross or net sales or revenue; (iii) net income (either before or after taxes); (iv) adjusted net income; (v) operating earnings (including but not limited to EBITDA or adjusted EBITDA); (vi) cash flow (including, but not limited to, operating cash flow and free cash flow); (vii) return on assets; (viii) return on capital; (ix) return on stockholders’ equity; (x) total stockholder return; (xi) return on sales; (xii) gross or net profit or operating margin; (xiii) operating or other costs and expenses; (xiv) funds from operations; (xv) improvements in expense levels; (xvi) working capital; (xvii) earnings per share; (xviii) adjusted earnings per share; (xix) price per share of Common Stock; (xx) regulatory body approval for commercialization of a product; (xxi) implementation or completion of critical projects; (xxii) market share; (xxiii) economic value; (xxiv) comparisons with various stock market indices; (xxv) capital raised in financing transactions or other financing milestones; (xxvi) stockholders’ equity; (xxvii) market recognition (including but not limited to awards and analyst ratings); (xxviii) financial ratios; (xxix) implementation, completion or attainment of objectively determinable objectives relating to research, development, regulatory, commercial, or strategic milestones or developments; and (xxx) other similar criteria as determined by the Administrator; in each case as determined in accordance with Applicable Accounting Standards, if applicable, any of which may be measured either in absolute terms or as compared to any incremental increase or decrease or as compared to results of a peer group or to market performance indicators or indices.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Administrator may, in its sole discretion, provide that one or more objectively determinable adjustments shall be made to one or more of the Performance Criteria. Such adjustments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any such other items as determined by the Administrator.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60"/>
        <w:ind w:left="0" w:right="0" w:firstLine="720"/>
        <w:jc w:val="left"/>
        <w:rPr/>
      </w:pPr>
      <w:r>
        <w:rPr>
          <w:rFonts w:ascii="Times New Roman;serif" w:hAnsi="Times New Roman;serif"/>
          <w:b w:val="false"/>
          <w:color w:val="000000"/>
          <w:sz w:val="22"/>
        </w:rPr>
        <w:t>2.33 “</w:t>
      </w:r>
      <w:r>
        <w:rPr>
          <w:rFonts w:ascii="Times New Roman;serif" w:hAnsi="Times New Roman;serif"/>
          <w:b/>
          <w:i/>
          <w:color w:val="000000"/>
          <w:sz w:val="22"/>
        </w:rPr>
        <w:t>Performance Period</w:t>
      </w:r>
      <w:r>
        <w:rPr>
          <w:color w:val="000000"/>
        </w:rPr>
        <w:t xml:space="preserve">” </w:t>
      </w:r>
      <w:r>
        <w:rPr>
          <w:rFonts w:ascii="Times New Roman;serif" w:hAnsi="Times New Roman;serif"/>
          <w:b w:val="false"/>
          <w:color w:val="000000"/>
          <w:sz w:val="22"/>
        </w:rPr>
        <w:t xml:space="preserve">shall mean one or more periods of time, which may be of varying and overlapping durations, as the Administrator may select, over which the attainment of one or more Performance Criteria will be measured for the purpose of determining a Holder’s right to, and the payment of, an Award.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2.34</w:t>
      </w:r>
      <w:r>
        <w:rPr>
          <w:color w:val="000000"/>
        </w:rPr>
        <w:t xml:space="preserve"> “</w:t>
      </w:r>
      <w:r>
        <w:rPr>
          <w:rFonts w:ascii="Times New Roman;serif" w:hAnsi="Times New Roman;serif"/>
          <w:b/>
          <w:i/>
          <w:color w:val="000000"/>
          <w:sz w:val="22"/>
        </w:rPr>
        <w:t>Performance Stock Unit</w:t>
      </w:r>
      <w:r>
        <w:rPr>
          <w:color w:val="000000"/>
        </w:rPr>
        <w:t xml:space="preserve">” </w:t>
      </w:r>
      <w:r>
        <w:rPr>
          <w:rFonts w:ascii="Times New Roman;serif" w:hAnsi="Times New Roman;serif"/>
          <w:b w:val="false"/>
          <w:color w:val="000000"/>
          <w:sz w:val="22"/>
        </w:rPr>
        <w:t xml:space="preserve">shall mean a Performance Award awarded under Section 8.1 which is denominated in units of value including dollar value of shares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2.35 “</w:t>
      </w:r>
      <w:r>
        <w:rPr>
          <w:rFonts w:ascii="Times New Roman;serif" w:hAnsi="Times New Roman;serif"/>
          <w:b/>
          <w:i/>
          <w:color w:val="000000"/>
          <w:sz w:val="22"/>
        </w:rPr>
        <w:t>Permitted Transferee</w:t>
      </w:r>
      <w:r>
        <w:rPr>
          <w:color w:val="000000"/>
        </w:rPr>
        <w:t xml:space="preserve">” </w:t>
      </w:r>
      <w:r>
        <w:rPr>
          <w:rFonts w:ascii="Times New Roman;serif" w:hAnsi="Times New Roman;serif"/>
          <w:b w:val="false"/>
          <w:color w:val="000000"/>
          <w:sz w:val="22"/>
        </w:rPr>
        <w:t xml:space="preserve">shall mean, with respect to a Holder, any “family member” of the Holder, as defined under the instructions to use the Form S-8 Registration Statement under the Securities Act, or any other transferee specifically approved by the Administrator after taking into account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2.36 “</w:t>
      </w:r>
      <w:r>
        <w:rPr>
          <w:rFonts w:ascii="Times New Roman;serif" w:hAnsi="Times New Roman;serif"/>
          <w:b/>
          <w:i/>
          <w:color w:val="000000"/>
          <w:sz w:val="22"/>
        </w:rPr>
        <w:t>Plan</w:t>
      </w:r>
      <w:r>
        <w:rPr>
          <w:color w:val="000000"/>
        </w:rPr>
        <w:t xml:space="preserve">” </w:t>
      </w:r>
      <w:r>
        <w:rPr>
          <w:rFonts w:ascii="Times New Roman;serif" w:hAnsi="Times New Roman;serif"/>
          <w:b w:val="false"/>
          <w:color w:val="000000"/>
          <w:sz w:val="22"/>
        </w:rPr>
        <w:t xml:space="preserve">shall have the meaning set forth in Article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2.37“</w:t>
      </w:r>
      <w:r>
        <w:rPr>
          <w:rFonts w:ascii="Times New Roman;serif" w:hAnsi="Times New Roman;serif"/>
          <w:b/>
          <w:i/>
          <w:color w:val="000000"/>
          <w:sz w:val="22"/>
        </w:rPr>
        <w:t>Prior Plan</w:t>
      </w:r>
      <w:r>
        <w:rPr>
          <w:color w:val="000000"/>
        </w:rPr>
        <w:t xml:space="preserve">” </w:t>
      </w:r>
      <w:r>
        <w:rPr>
          <w:rFonts w:ascii="Times New Roman;serif" w:hAnsi="Times New Roman;serif"/>
          <w:b w:val="false"/>
          <w:color w:val="000000"/>
          <w:sz w:val="22"/>
        </w:rPr>
        <w:t xml:space="preserve">shall mean the Globus Medical, Inc. 2012 Equity Incentive Plan, as such plan was or may be amended from time to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2.38</w:t>
      </w:r>
      <w:r>
        <w:rPr>
          <w:color w:val="000000"/>
        </w:rPr>
        <w:t xml:space="preserve"> “</w:t>
      </w:r>
      <w:r>
        <w:rPr>
          <w:rFonts w:ascii="Times New Roman;serif" w:hAnsi="Times New Roman;serif"/>
          <w:b/>
          <w:i/>
          <w:color w:val="000000"/>
          <w:sz w:val="22"/>
        </w:rPr>
        <w:t>Prior Plan Award</w:t>
      </w:r>
      <w:r>
        <w:rPr>
          <w:color w:val="000000"/>
        </w:rPr>
        <w:t xml:space="preserve">” </w:t>
      </w:r>
      <w:r>
        <w:rPr>
          <w:rFonts w:ascii="Times New Roman;serif" w:hAnsi="Times New Roman;serif"/>
          <w:b w:val="false"/>
          <w:color w:val="000000"/>
          <w:sz w:val="22"/>
        </w:rPr>
        <w:t xml:space="preserve">shall mean an award outstanding under the Prior Plan as of the Effective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2.39</w:t>
      </w:r>
      <w:r>
        <w:rPr>
          <w:color w:val="000000"/>
        </w:rPr>
        <w:t xml:space="preserve"> “</w:t>
      </w:r>
      <w:r>
        <w:rPr>
          <w:rFonts w:ascii="Times New Roman;serif" w:hAnsi="Times New Roman;serif"/>
          <w:b/>
          <w:i/>
          <w:color w:val="000000"/>
          <w:sz w:val="22"/>
        </w:rPr>
        <w:t>Restricted Stock</w:t>
      </w:r>
      <w:r>
        <w:rPr>
          <w:color w:val="000000"/>
        </w:rPr>
        <w:t xml:space="preserve">” </w:t>
      </w:r>
      <w:r>
        <w:rPr>
          <w:rFonts w:ascii="Times New Roman;serif" w:hAnsi="Times New Roman;serif"/>
          <w:b w:val="false"/>
          <w:color w:val="000000"/>
          <w:sz w:val="22"/>
        </w:rPr>
        <w:t xml:space="preserve">shall mean Shares awarded under Article 6 that are subject to certain restrictions and may be subject to risk of forfeiture or repurchase.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2.40</w:t>
      </w:r>
      <w:r>
        <w:rPr>
          <w:color w:val="000000"/>
        </w:rPr>
        <w:t xml:space="preserve"> “</w:t>
      </w:r>
      <w:r>
        <w:rPr>
          <w:rFonts w:ascii="Times New Roman;serif" w:hAnsi="Times New Roman;serif"/>
          <w:b/>
          <w:i/>
          <w:color w:val="000000"/>
          <w:sz w:val="22"/>
        </w:rPr>
        <w:t>Restricted Stock Units</w:t>
      </w:r>
      <w:r>
        <w:rPr>
          <w:color w:val="000000"/>
        </w:rPr>
        <w:t xml:space="preserve">” </w:t>
      </w:r>
      <w:r>
        <w:rPr>
          <w:rFonts w:ascii="Times New Roman;serif" w:hAnsi="Times New Roman;serif"/>
          <w:b w:val="false"/>
          <w:color w:val="000000"/>
          <w:sz w:val="22"/>
        </w:rPr>
        <w:t xml:space="preserve">shall mean the right to receive Shares awarded under Article 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2.41</w:t>
      </w:r>
      <w:r>
        <w:rPr>
          <w:color w:val="000000"/>
        </w:rPr>
        <w:t xml:space="preserve"> “</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 xml:space="preserve">shall mean the Securities Act of 1933, as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2.42</w:t>
      </w:r>
      <w:r>
        <w:rPr>
          <w:color w:val="000000"/>
        </w:rPr>
        <w:t xml:space="preserve"> “</w:t>
      </w:r>
      <w:r>
        <w:rPr>
          <w:rFonts w:ascii="Times New Roman;serif" w:hAnsi="Times New Roman;serif"/>
          <w:b/>
          <w:i/>
          <w:color w:val="000000"/>
          <w:sz w:val="22"/>
        </w:rPr>
        <w:t>Shares</w:t>
      </w:r>
      <w:r>
        <w:rPr>
          <w:color w:val="000000"/>
        </w:rPr>
        <w:t xml:space="preserve">” </w:t>
      </w:r>
      <w:r>
        <w:rPr>
          <w:rFonts w:ascii="Times New Roman;serif" w:hAnsi="Times New Roman;serif"/>
          <w:b w:val="false"/>
          <w:color w:val="000000"/>
          <w:sz w:val="22"/>
        </w:rPr>
        <w:t xml:space="preserve">shall mean shares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2.43</w:t>
      </w:r>
      <w:r>
        <w:rPr>
          <w:color w:val="000000"/>
        </w:rPr>
        <w:t xml:space="preserve"> “</w:t>
      </w:r>
      <w:r>
        <w:rPr>
          <w:rFonts w:ascii="Times New Roman;serif" w:hAnsi="Times New Roman;serif"/>
          <w:b/>
          <w:i/>
          <w:color w:val="000000"/>
          <w:sz w:val="22"/>
        </w:rPr>
        <w:t>Stock Appreciation Right</w:t>
      </w:r>
      <w:r>
        <w:rPr>
          <w:color w:val="000000"/>
        </w:rPr>
        <w:t xml:space="preserve">” </w:t>
      </w:r>
      <w:r>
        <w:rPr>
          <w:rFonts w:ascii="Times New Roman;serif" w:hAnsi="Times New Roman;serif"/>
          <w:b w:val="false"/>
          <w:color w:val="000000"/>
          <w:sz w:val="22"/>
        </w:rPr>
        <w:t xml:space="preserve">shall mean a stock appreciation right granted under Article 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2.44</w:t>
      </w:r>
      <w:r>
        <w:rPr>
          <w:color w:val="000000"/>
        </w:rPr>
        <w:t xml:space="preserve"> “</w:t>
      </w:r>
      <w:r>
        <w:rPr>
          <w:rFonts w:ascii="Times New Roman;serif" w:hAnsi="Times New Roman;serif"/>
          <w:b/>
          <w:i/>
          <w:color w:val="000000"/>
          <w:sz w:val="22"/>
        </w:rPr>
        <w:t>Stock Appreciation Right Term</w:t>
      </w:r>
      <w:r>
        <w:rPr>
          <w:color w:val="000000"/>
        </w:rPr>
        <w:t xml:space="preserve">” </w:t>
      </w:r>
      <w:r>
        <w:rPr>
          <w:rFonts w:ascii="Times New Roman;serif" w:hAnsi="Times New Roman;serif"/>
          <w:b w:val="false"/>
          <w:color w:val="000000"/>
          <w:sz w:val="22"/>
        </w:rPr>
        <w:t xml:space="preserve">shall have the meaning set forth in Section 9.4.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2.45</w:t>
      </w:r>
      <w:r>
        <w:rPr>
          <w:color w:val="000000"/>
        </w:rPr>
        <w:t xml:space="preserve"> “</w:t>
      </w:r>
      <w:r>
        <w:rPr>
          <w:rFonts w:ascii="Times New Roman;serif" w:hAnsi="Times New Roman;serif"/>
          <w:b/>
          <w:i/>
          <w:color w:val="000000"/>
          <w:sz w:val="22"/>
        </w:rPr>
        <w:t>Stock Payment</w:t>
      </w:r>
      <w:r>
        <w:rPr>
          <w:color w:val="000000"/>
        </w:rPr>
        <w:t xml:space="preserve">” </w:t>
      </w:r>
      <w:r>
        <w:rPr>
          <w:rFonts w:ascii="Times New Roman;serif" w:hAnsi="Times New Roman;serif"/>
          <w:b w:val="false"/>
          <w:color w:val="000000"/>
          <w:sz w:val="22"/>
        </w:rPr>
        <w:t xml:space="preserve">shall mean (a) a payment in the form of Shares or (b) an option or other right to purchase Shares, as part of a bonus, deferred compensation or other arrangement, awarded under Section 8.2.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2.46“</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 xml:space="preserve">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2.47</w:t>
      </w:r>
      <w:r>
        <w:rPr>
          <w:color w:val="000000"/>
        </w:rPr>
        <w:t xml:space="preserve"> “</w:t>
      </w:r>
      <w:r>
        <w:rPr>
          <w:rFonts w:ascii="Times New Roman;serif" w:hAnsi="Times New Roman;serif"/>
          <w:b/>
          <w:i/>
          <w:color w:val="000000"/>
          <w:sz w:val="22"/>
        </w:rPr>
        <w:t>Substitute Award</w:t>
      </w:r>
      <w:r>
        <w:rPr>
          <w:color w:val="000000"/>
        </w:rPr>
        <w:t xml:space="preserve">” </w:t>
      </w:r>
      <w:r>
        <w:rPr>
          <w:rFonts w:ascii="Times New Roman;serif" w:hAnsi="Times New Roman;serif"/>
          <w:b w:val="false"/>
          <w:color w:val="000000"/>
          <w:sz w:val="22"/>
        </w:rPr>
        <w:t xml:space="preserve">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in no event shall the term “Substitute Award” be construed to refer to an award made in connection with the cancellation and repricing of an Option or Stock Appreciation Right.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2.48</w:t>
      </w:r>
      <w:r>
        <w:rPr>
          <w:color w:val="000000"/>
        </w:rPr>
        <w:t xml:space="preserve"> “</w:t>
      </w:r>
      <w:r>
        <w:rPr>
          <w:rFonts w:ascii="Times New Roman;serif" w:hAnsi="Times New Roman;serif"/>
          <w:b/>
          <w:i/>
          <w:color w:val="000000"/>
          <w:sz w:val="22"/>
        </w:rPr>
        <w:t>Termination of Service</w:t>
      </w:r>
      <w:r>
        <w:rPr>
          <w:color w:val="000000"/>
        </w:rPr>
        <w:t xml:space="preserve">” </w:t>
      </w:r>
      <w:r>
        <w:rPr>
          <w:rFonts w:ascii="Times New Roman;serif" w:hAnsi="Times New Roman;serif"/>
          <w:b w:val="false"/>
          <w:color w:val="000000"/>
          <w:sz w:val="22"/>
        </w:rPr>
        <w:t xml:space="preserve">shall mean: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As to a Consultant, the time when the engagement of a Holder as a Consultant to the Company or any Subsidiary is terminated for any reason, with or without Misconduct, including, without limitation, by resignation, discharge, death, retirement or expiration of the consulting relationship, but excluding terminations where the Consultant simultaneously commences or remains in employment or service with the Company or any Subsidiary.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to a Non-Employee Director, the time when a Holder who is a Non-Employee Director ceases to be a Director for any reason, with or without Misconduct, including, without limitation, a termination by resignation, failure to be elected or reelected, removal, death or retirement, but excluding terminations where the Holder simultaneously commences or remains in employment or service with the Company or any Subsidiary.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As to an Employee, the time when the employee-employer relationship between a Holder and the Company or any Subsidiary is terminated for any reason, with or without Misconduct, including, without limitation, a termination by resignation, discharge, death, disability or retirement, but excluding terminations where the Holder simultaneously commences or remains in employment or service with the Company or any Subsidiary. </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erif" w:hAnsi="Times New Roman;serif"/>
          <w:b w:val="false"/>
          <w:color w:val="000000"/>
          <w:sz w:val="22"/>
        </w:rPr>
        <w:t xml:space="preserve">The Administrator, in its sole discretion but subject to Section 12.11 (if applicable), shall determine the effect of all matters and questions relating to Terminations of Service, including, without limitation, the question of whether a Termination of Service resulted from a discharge for Misconduct and all questions of whether particular leaves of absence constitute a Termination of Service;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Incentive Stock Options, unless the Administrator otherwise provides in the terms of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relationship shall be deemed to be terminated in the event that the Subsidiary employing or contracting with such Holder ceases to remain a Subsidiary following any merger, sale of stock or other corporate transaction or event (including, without limitation, a spin-off).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3.</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SHARES SUBJECT TO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3.1 </w:t>
      </w:r>
      <w:r>
        <w:rPr>
          <w:rFonts w:ascii="Times New Roman;serif" w:hAnsi="Times New Roman;serif"/>
          <w:b w:val="false"/>
          <w:color w:val="000000"/>
          <w:sz w:val="22"/>
          <w:u w:val="single"/>
        </w:rPr>
        <w:t xml:space="preserve">Number of Shares.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12.2 and Section 3.1(b) and, with respect to Incentive Stock Options only, to the penultimate sentence of this Section 3.1(a), the aggregate number of Shares that may be issued or transferred pursuant to Awards under the Plan is the sum of (i) 12,000,000, and (ii) any Shares which as of the Effective Date are available for issuance under the Prior Plan, or are subject to Prior Plan Awards which become available for future grants of Awards under the Plan following the Effective Date pursuant to Section 3.1(b). Notwithstanding anything in this Section 3.1 to the contrary, the aggregate number of Shares that may be issued or transferred pursuant to Incentive Stock Options under the Plan shall not exceed 12,000,000 Shares, subject to Section 3.1(c) and subject to adjustment pursuant to Section 12.2. From and after the Effective Date, no awards shall be granted under the Prior Plan; however, any Prior Plan Award shall continue to be subject to the terms and conditions of the Prior Plan.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the extent all or a portion of an Award or a Prior Plan Award is forfeited, terminates, expires or lapses for any reason, or is settled for cash without the delivery of Shares to the Holder, any Shares subject to such Award, Prior Plan Award or portion thereof, to the extent of such forfeiture, termination, expiration, lapse or cash settlement, shall again be or shall become, as applicable, available for the grant of an Award pursuant to the Plan. Any Shares tendered by a Holder or withheld by the Company or any Subsidiary to satisfy the grant or exercise price or tax withholding obligation in connection with all or a portion of an Award or Prior Plan Award shall again be or shall become, as applicable, available for the grant of an Award pursuant to the Plan. Any Shares subject to a Stock Appreciation Right that are not issued in connection with the stock settlement of the Stock Appreciation Right on exercise thereof shall again be available for the grant of an Award pursuant to the Plan. Any Shares repurchased by or surrendered to the Company pursuant to Section 6.5 or in connection with any Prior Plan Award so that such Shares are returned to the Company shall again be or shall become, as applicable, available for the grant of an Award pursuant to the Plan. Notwithstanding the provisions of this Section 3.1(b), no Shares may again be or, as applicable, may become eligible to be, optioned, granted or awarded if such action would cause an Incentive Stock Option to fail to qualify as an incentive stock option under Section 422 of the Code.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To the extent permitted by Applicable Law, Substitute Awards shall not reduce the Shares authorized for grant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3.2 </w:t>
      </w:r>
      <w:r>
        <w:rPr>
          <w:rFonts w:ascii="Times New Roman;serif" w:hAnsi="Times New Roman;serif"/>
          <w:b w:val="false"/>
          <w:color w:val="000000"/>
          <w:sz w:val="22"/>
          <w:u w:val="single"/>
        </w:rPr>
        <w:t>Stock Distributed</w:t>
      </w:r>
      <w:r>
        <w:rPr>
          <w:rFonts w:ascii="Times New Roman;serif" w:hAnsi="Times New Roman;serif"/>
          <w:b w:val="false"/>
          <w:color w:val="000000"/>
          <w:sz w:val="22"/>
        </w:rPr>
        <w:t xml:space="preserve">. Any Shares distributed pursuant to an Award may consist, in whole or in part, of authorized and unissued Common Stock, treasury Common Stock or Common Stock purchased on the open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3.3 </w:t>
      </w:r>
      <w:r>
        <w:rPr>
          <w:rFonts w:ascii="Times New Roman;serif" w:hAnsi="Times New Roman;serif"/>
          <w:b w:val="false"/>
          <w:color w:val="000000"/>
          <w:sz w:val="22"/>
          <w:u w:val="single"/>
        </w:rPr>
        <w:t>Minimum Vesting Requirement</w:t>
      </w:r>
      <w:r>
        <w:rPr>
          <w:rFonts w:ascii="Times New Roman;serif" w:hAnsi="Times New Roman;serif"/>
          <w:b w:val="false"/>
          <w:color w:val="000000"/>
          <w:sz w:val="22"/>
        </w:rPr>
        <w:t>. Notwithstanding any other provision of the Plan to the contrary, Awards granted under the Plan shall not vest over a period of less than one year from the date on which the Award is granted; provided that the following Awards shall not be subject to the foregoing minimum vesting requirement: any (i) Substitute Awards (as such term is defined in Section 2.47), (ii) Awards to Non-Employee Directors that vest on the earlier of the one-year anniversary of the date of grant and the next annual meeting of stockholders that is at least 50 weeks after the immediately preceding year’s annual meeting, and (iii) any additional Awards that the Administrator may grant, up to a maximum of five percent (5%) of the available share reserve authorized or issuance under the Plan under Section 3.1 (subject to adjustment under Section 12.2); provided, further, that the Administrator may authorize acceleration of vesting of such Awards in the event of the Participant’s death or Disability, or the occurrence of a Change in Control as provided in Section 12.2.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GRANTING OF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4.1 </w:t>
      </w:r>
      <w:r>
        <w:rPr>
          <w:rFonts w:ascii="Times New Roman;serif" w:hAnsi="Times New Roman;serif"/>
          <w:b w:val="false"/>
          <w:color w:val="000000"/>
          <w:sz w:val="22"/>
          <w:u w:val="single"/>
        </w:rPr>
        <w:t>Participation</w:t>
      </w:r>
      <w:r>
        <w:rPr>
          <w:rFonts w:ascii="Times New Roman;serif" w:hAnsi="Times New Roman;serif"/>
          <w:b w:val="false"/>
          <w:color w:val="000000"/>
          <w:sz w:val="22"/>
        </w:rPr>
        <w:t xml:space="preserve">.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4.2 </w:t>
      </w:r>
      <w:r>
        <w:rPr>
          <w:rFonts w:ascii="Times New Roman;serif" w:hAnsi="Times New Roman;serif"/>
          <w:b w:val="false"/>
          <w:color w:val="000000"/>
          <w:sz w:val="22"/>
          <w:u w:val="single"/>
        </w:rPr>
        <w:t>Award Agreement</w:t>
      </w:r>
      <w:r>
        <w:rPr>
          <w:rFonts w:ascii="Times New Roman;serif" w:hAnsi="Times New Roman;serif"/>
          <w:b w:val="false"/>
          <w:color w:val="000000"/>
          <w:sz w:val="22"/>
        </w:rPr>
        <w:t xml:space="preserve">. Unless otherwise determined by the Administrator,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4.3 </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xml:space="preserve">.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4.4 </w:t>
      </w:r>
      <w:r>
        <w:rPr>
          <w:rFonts w:ascii="Times New Roman;serif" w:hAnsi="Times New Roman;serif"/>
          <w:b w:val="false"/>
          <w:color w:val="000000"/>
          <w:sz w:val="22"/>
          <w:u w:val="single"/>
        </w:rPr>
        <w:t>At-Will Employment; Voluntary Participation</w:t>
      </w:r>
      <w:r>
        <w:rPr>
          <w:rFonts w:ascii="Times New Roman;serif" w:hAnsi="Times New Roman;serif"/>
          <w:b w:val="false"/>
          <w:color w:val="000000"/>
          <w:sz w:val="22"/>
        </w:rPr>
        <w:t xml:space="preserve">. Nothing in the Plan or in any Award Agreement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Misconduct, and with or without notice, or to terminate or change all other terms and conditions of employment or engagement, except to the extent expressly provided otherwise in a written agreement between the Holder and the Company or any Subsidiary. Participation by each Holder in the Plan shall be voluntary and nothing in the Plan shall be construed as mandating that any Eligible Individual shall participate in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4.5 </w:t>
      </w:r>
      <w:r>
        <w:rPr>
          <w:rFonts w:ascii="Times New Roman;serif" w:hAnsi="Times New Roman;serif"/>
          <w:b w:val="false"/>
          <w:color w:val="000000"/>
          <w:sz w:val="22"/>
          <w:u w:val="single"/>
        </w:rPr>
        <w:t>Foreign Holders</w:t>
      </w:r>
      <w:r>
        <w:rPr>
          <w:rFonts w:ascii="Times New Roman;serif" w:hAnsi="Times New Roman;serif"/>
          <w:b w:val="false"/>
          <w:color w:val="000000"/>
          <w:sz w:val="22"/>
        </w:rPr>
        <w:t xml:space="preserve">. Notwithstanding any provision of the Plan to the contrary, in order to comply with the laws in countries other than the United States in which the Company and its Subsidiaries operate or have Employees, Non-Employee Directors or Consultants, or in order to comply with the requirements of any foreign securities exchange and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provided, however, that no such subplans and/or modifications shall increase the share limitations contained in Sections 3.1 and 3.3; and (e) take any action, before or after an Award is made, that it deems advisable to obtain approval or comply with any </w:t>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4.6 </w:t>
      </w:r>
      <w:r>
        <w:rPr>
          <w:rFonts w:ascii="Times New Roman;serif" w:hAnsi="Times New Roman;serif"/>
          <w:b w:val="false"/>
          <w:color w:val="000000"/>
          <w:sz w:val="22"/>
          <w:u w:val="single"/>
        </w:rPr>
        <w:t>Non-Employee Director Awards</w:t>
      </w:r>
      <w:r>
        <w:rPr>
          <w:rFonts w:ascii="Times New Roman;serif" w:hAnsi="Times New Roman;serif"/>
          <w:b w:val="false"/>
          <w:color w:val="000000"/>
          <w:sz w:val="22"/>
        </w:rPr>
        <w:t>. The Administrator may, in its discretion, provide that Awards granted to Non-Employee Directors shall be granted pursuant to a written formula established by the Administrator (the “</w:t>
      </w:r>
      <w:r>
        <w:rPr>
          <w:rFonts w:ascii="Times New Roman;serif" w:hAnsi="Times New Roman;serif"/>
          <w:b/>
          <w:i/>
          <w:color w:val="000000"/>
          <w:sz w:val="22"/>
        </w:rPr>
        <w:t>Non-Employee Director Compensation Policy</w:t>
      </w:r>
      <w:r>
        <w:rPr>
          <w:color w:val="000000"/>
        </w:rPr>
        <w:t>”</w:t>
      </w:r>
      <w:r>
        <w:rPr>
          <w:rFonts w:ascii="Times New Roman;serif" w:hAnsi="Times New Roman;serif"/>
          <w:b w:val="false"/>
          <w:color w:val="000000"/>
          <w:sz w:val="22"/>
        </w:rPr>
        <w:t xml:space="preserve">), subject to the limitations of the Plan. The Non-Employee Director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Compensation Policy may be modified by the Administrator from time to time in its discretion.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4.7 </w:t>
      </w:r>
      <w:r>
        <w:rPr>
          <w:rFonts w:ascii="Times New Roman;serif" w:hAnsi="Times New Roman;serif"/>
          <w:b w:val="false"/>
          <w:color w:val="000000"/>
          <w:sz w:val="22"/>
          <w:u w:val="single"/>
        </w:rPr>
        <w:t>Stand-Alone and Tandem Awards</w:t>
      </w:r>
      <w:r>
        <w:rPr>
          <w:rFonts w:ascii="Times New Roman;serif" w:hAnsi="Times New Roman;serif"/>
          <w:b w:val="false"/>
          <w:color w:val="000000"/>
          <w:sz w:val="22"/>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5.</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5.1 </w:t>
      </w:r>
      <w:r>
        <w:rPr>
          <w:rFonts w:ascii="Times New Roman;serif" w:hAnsi="Times New Roman;serif"/>
          <w:b w:val="false"/>
          <w:color w:val="000000"/>
          <w:sz w:val="22"/>
          <w:u w:val="single"/>
        </w:rPr>
        <w:t>Granting of Options to Eligible Individuals</w:t>
      </w:r>
      <w:r>
        <w:rPr>
          <w:rFonts w:ascii="Times New Roman;serif" w:hAnsi="Times New Roman;serif"/>
          <w:b w:val="false"/>
          <w:color w:val="000000"/>
          <w:sz w:val="22"/>
        </w:rPr>
        <w:t xml:space="preserve">. The Administrator is authorized to grant Options to Eligible Individuals from time to time, in its sole discretion, on such terms and conditions as it may determine which shall not be inconsistent with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5.2 </w:t>
      </w:r>
      <w:r>
        <w:rPr>
          <w:rFonts w:ascii="Times New Roman;serif" w:hAnsi="Times New Roman;serif"/>
          <w:b w:val="false"/>
          <w:color w:val="000000"/>
          <w:sz w:val="22"/>
          <w:u w:val="single"/>
        </w:rPr>
        <w:t>Option Exercise Price</w:t>
      </w:r>
      <w:r>
        <w:rPr>
          <w:rFonts w:ascii="Times New Roman;serif" w:hAnsi="Times New Roman;serif"/>
          <w:b w:val="false"/>
          <w:color w:val="000000"/>
          <w:sz w:val="22"/>
        </w:rPr>
        <w:t xml:space="preserve">.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5.3 </w:t>
      </w:r>
      <w:r>
        <w:rPr>
          <w:rFonts w:ascii="Times New Roman;serif" w:hAnsi="Times New Roman;serif"/>
          <w:b w:val="false"/>
          <w:color w:val="000000"/>
          <w:sz w:val="22"/>
          <w:u w:val="single"/>
        </w:rPr>
        <w:t>Option Vesting</w:t>
      </w:r>
      <w:r>
        <w:rPr>
          <w:rFonts w:ascii="Times New Roman;serif" w:hAnsi="Times New Roman;serif"/>
          <w:b w:val="false"/>
          <w:color w:val="000000"/>
          <w:sz w:val="22"/>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 portion of an Option which is unexercisable at a Holder’s Termination of Service shall thereafter become exercisable, except as may be otherwise provided by the Administrator either in the Award Agreement or by action of the Administrator following the grant of the 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5.4 </w:t>
      </w:r>
      <w:r>
        <w:rPr>
          <w:rFonts w:ascii="Times New Roman;serif" w:hAnsi="Times New Roman;serif"/>
          <w:b w:val="false"/>
          <w:color w:val="000000"/>
          <w:sz w:val="22"/>
          <w:u w:val="single"/>
        </w:rPr>
        <w:t>Manner of Exercise</w:t>
      </w:r>
      <w:r>
        <w:rPr>
          <w:rFonts w:ascii="Times New Roman;serif" w:hAnsi="Times New Roman;serif"/>
          <w:b w:val="false"/>
          <w:color w:val="000000"/>
          <w:sz w:val="22"/>
        </w:rPr>
        <w:t xml:space="preserve">. All or a portion of an exercisable Option shall be deemed exercised upon delivery of all of the following to the stock administrator of the Company, or such other person or entity designated by the Administrator, or his, her or its office, as applicable: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Such representations and documents as the Administrator, in its sole discretion, deems necessary or advisable to effect compliance with Applicable Law. The Administrator may, in its sole discretion, also take whatever </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 actions it deems appropriate to effect such compliance including, without limitation, placing legends on share certificates and issuing stop-transfer notices to agents and registrars;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that the Option shall be exercised by any person or persons other than the Holder, appropriate proof of the right of such person or persons to exercise the Option, as determined in the sole discretion of the Administrator; and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Full payment of the exercise price and applicable withholding taxes to the stock administrator of the Company for the Shares with respect to which the Option, or portion thereof, is exercised, in a manner permitted by Section 10.1 and 10.2.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5.5 </w:t>
      </w:r>
      <w:r>
        <w:rPr>
          <w:rFonts w:ascii="Times New Roman;serif" w:hAnsi="Times New Roman;serif"/>
          <w:b w:val="false"/>
          <w:color w:val="000000"/>
          <w:sz w:val="22"/>
          <w:u w:val="single"/>
        </w:rPr>
        <w:t>Partial Exercise</w:t>
      </w:r>
      <w:r>
        <w:rPr>
          <w:rFonts w:ascii="Times New Roman;serif" w:hAnsi="Times New Roman;serif"/>
          <w:b w:val="false"/>
          <w:color w:val="000000"/>
          <w:sz w:val="22"/>
        </w:rPr>
        <w:t>. An exercisable Option may be exercised in whole or in part. However, an Option shall not be exercisable with respect to fractional Shares unless determined otherwise by the Administrator, and the Administrator may require that, by the terms of the Option, a partial exercise must be with respect to a minimum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5.6 </w:t>
      </w:r>
      <w:r>
        <w:rPr>
          <w:rFonts w:ascii="Times New Roman;serif" w:hAnsi="Times New Roman;serif"/>
          <w:b w:val="false"/>
          <w:color w:val="000000"/>
          <w:sz w:val="22"/>
          <w:u w:val="single"/>
        </w:rPr>
        <w:t>Option Term</w:t>
      </w:r>
      <w:r>
        <w:rPr>
          <w:rFonts w:ascii="Times New Roman;serif" w:hAnsi="Times New Roman;serif"/>
          <w:b w:val="false"/>
          <w:color w:val="000000"/>
          <w:sz w:val="22"/>
        </w:rPr>
        <w:t>. The term of each Option (the “</w:t>
      </w:r>
      <w:r>
        <w:rPr>
          <w:rFonts w:ascii="Times New Roman;serif" w:hAnsi="Times New Roman;serif"/>
          <w:b/>
          <w:i/>
          <w:color w:val="000000"/>
          <w:sz w:val="22"/>
        </w:rPr>
        <w:t>Option Term</w:t>
      </w:r>
      <w:r>
        <w:rPr>
          <w:color w:val="000000"/>
        </w:rPr>
        <w:t>”</w:t>
      </w:r>
      <w:r>
        <w:rPr>
          <w:rFonts w:ascii="Times New Roman;serif" w:hAnsi="Times New Roman;serif"/>
          <w:b w:val="false"/>
          <w:color w:val="000000"/>
          <w:sz w:val="22"/>
        </w:rPr>
        <w:t xml:space="preserve">) shall be set by the Administrator in its sole discretion;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and may extend the time period during which vested Options may be exercised, in connection with any Termination of Service of the Holder, and may amend any other term or condition of such Option relating to such a Termination of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5.7 </w:t>
      </w:r>
      <w:r>
        <w:rPr>
          <w:rFonts w:ascii="Times New Roman;serif" w:hAnsi="Times New Roman;serif"/>
          <w:b w:val="false"/>
          <w:color w:val="000000"/>
          <w:sz w:val="22"/>
          <w:u w:val="single"/>
        </w:rPr>
        <w:t>Qualification of Incentive Stock Options</w:t>
      </w:r>
      <w:r>
        <w:rPr>
          <w:rFonts w:ascii="Times New Roman;serif" w:hAnsi="Times New Roman;serif"/>
          <w:b w:val="false"/>
          <w:color w:val="000000"/>
          <w:sz w:val="22"/>
        </w:rPr>
        <w:t xml:space="preserve">.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5.8 </w:t>
      </w:r>
      <w:r>
        <w:rPr>
          <w:rFonts w:ascii="Times New Roman;serif" w:hAnsi="Times New Roman;serif"/>
          <w:b w:val="false"/>
          <w:color w:val="000000"/>
          <w:sz w:val="22"/>
          <w:u w:val="single"/>
        </w:rPr>
        <w:t>Notification Regarding Disposition</w:t>
      </w:r>
      <w:r>
        <w:rPr>
          <w:rFonts w:ascii="Times New Roman;serif" w:hAnsi="Times New Roman;serif"/>
          <w:b w:val="false"/>
          <w:color w:val="000000"/>
          <w:sz w:val="22"/>
        </w:rPr>
        <w:t xml:space="preserve">.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5.9 </w:t>
      </w:r>
      <w:r>
        <w:rPr>
          <w:rFonts w:ascii="Times New Roman;serif" w:hAnsi="Times New Roman;serif"/>
          <w:b w:val="false"/>
          <w:color w:val="000000"/>
          <w:sz w:val="22"/>
          <w:u w:val="single"/>
        </w:rPr>
        <w:t>Substitute Awards</w:t>
      </w:r>
      <w:r>
        <w:rPr>
          <w:rFonts w:ascii="Times New Roman;serif" w:hAnsi="Times New Roman;serif"/>
          <w:b w:val="false"/>
          <w:color w:val="000000"/>
          <w:sz w:val="22"/>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5.10 </w:t>
      </w:r>
      <w:r>
        <w:rPr>
          <w:rFonts w:ascii="Times New Roman;serif" w:hAnsi="Times New Roman;serif"/>
          <w:b w:val="false"/>
          <w:color w:val="000000"/>
          <w:sz w:val="22"/>
          <w:u w:val="single"/>
        </w:rPr>
        <w:t>Modification, Extension or Renewal</w:t>
      </w:r>
      <w:r>
        <w:rPr>
          <w:rFonts w:ascii="Times New Roman;serif" w:hAnsi="Times New Roman;serif"/>
          <w:b w:val="false"/>
          <w:color w:val="000000"/>
          <w:sz w:val="22"/>
        </w:rPr>
        <w:t xml:space="preserve">.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Any outstanding Incentive Stock Option that is modified, extended, renewed or otherwise altered will be treated in accordance with Section </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val="false"/>
          <w:color w:val="000000"/>
          <w:sz w:val="22"/>
        </w:rPr>
        <w:t xml:space="preserve">424(h) of the Code. By written notice to affected Holders, the Committee may reduce the Exercise Price of outstanding Options without the consent of such Holders;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Exercise Price may not be reduced below the Fair Market Value on the date the action is taken to reduce the Exercise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5.11 </w:t>
      </w:r>
      <w:r>
        <w:rPr>
          <w:rFonts w:ascii="Times New Roman;serif" w:hAnsi="Times New Roman;serif"/>
          <w:b w:val="false"/>
          <w:color w:val="000000"/>
          <w:sz w:val="22"/>
          <w:u w:val="single"/>
        </w:rPr>
        <w:t>No Disqualification</w:t>
      </w:r>
      <w:r>
        <w:rPr>
          <w:rFonts w:ascii="Times New Roman;serif" w:hAnsi="Times New Roman;serif"/>
          <w:b w:val="false"/>
          <w:color w:val="000000"/>
          <w:sz w:val="22"/>
        </w:rPr>
        <w:t>. Notwithstanding any other provision in this Plan, no term of this Plan relating to Incentive Stock Options will be interpreted, amended or altered, nor will any discretion or authority granted under this Plan be exercised, so as to disqualify this Plan under Section 422 of the Code or, without the consent of the Holder affected, to disqualify any Incentive Stock Option under Section 422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6.</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6.1 </w:t>
      </w:r>
      <w:r>
        <w:rPr>
          <w:rFonts w:ascii="Times New Roman;serif" w:hAnsi="Times New Roman;serif"/>
          <w:b w:val="false"/>
          <w:color w:val="000000"/>
          <w:sz w:val="22"/>
          <w:u w:val="single"/>
        </w:rPr>
        <w:t>Award of Restricted Stock</w:t>
      </w:r>
      <w:r>
        <w:rPr>
          <w:rFonts w:ascii="Times New Roman;serif" w:hAnsi="Times New Roman;serif"/>
          <w:b w:val="false"/>
          <w:color w:val="000000"/>
          <w:sz w:val="22"/>
        </w:rPr>
        <w:t>.</w:t>
      </w:r>
      <w:r>
        <w:rPr>
          <w:color w:val="000000"/>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Administrator shall establish the purchase price, if any, and form of payment for Restricted Stock;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 purchase price is charged, such purchase price shall be no less than the par value, if any, of the Shares to be purchased, unless otherwise permitted by Applicable Law. The purchase price per Share may, however, be less than the Fair Market Value. In all cases, legal consideration shall be required for each issuance of Restricted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49"/>
        <w:jc w:val="left"/>
        <w:rPr/>
      </w:pPr>
      <w:r>
        <w:rPr>
          <w:rFonts w:ascii="Times New Roman;serif" w:hAnsi="Times New Roman;serif"/>
          <w:b w:val="false"/>
          <w:color w:val="000000"/>
          <w:sz w:val="22"/>
        </w:rPr>
        <w:t xml:space="preserve">6.2 </w:t>
      </w:r>
      <w:r>
        <w:rPr>
          <w:rFonts w:ascii="Times New Roman;serif" w:hAnsi="Times New Roman;serif"/>
          <w:b w:val="false"/>
          <w:color w:val="000000"/>
          <w:sz w:val="22"/>
          <w:u w:val="single"/>
        </w:rPr>
        <w:t>Rights as Stockholders</w:t>
      </w:r>
      <w:r>
        <w:rPr>
          <w:rFonts w:ascii="Times New Roman;serif" w:hAnsi="Times New Roman;serif"/>
          <w:b w:val="false"/>
          <w:color w:val="000000"/>
          <w:sz w:val="22"/>
        </w:rPr>
        <w:t xml:space="preserve">. Subject to Section 6.4, upon issuance of Restricted Stock, the Holder shall have, unless otherwise provided by the Administrator, all the rights of a stockholder with respect to said Shares, subject to the restrictions in each individual Award Agreement, including the right to receive all dividends and other distributions paid or made with respect to the Shares;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in the sole discretion of the Administrator, any extraordinary distributions with respect to the Shares shall be subject to the restrictions set forth in Section 6.3.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6.3 </w:t>
      </w:r>
      <w:r>
        <w:rPr>
          <w:rFonts w:ascii="Times New Roman;serif" w:hAnsi="Times New Roman;serif"/>
          <w:b w:val="false"/>
          <w:color w:val="000000"/>
          <w:sz w:val="22"/>
          <w:u w:val="single"/>
        </w:rPr>
        <w:t>Restrictions</w:t>
      </w:r>
      <w:r>
        <w:rPr>
          <w:rFonts w:ascii="Times New Roman;serif" w:hAnsi="Times New Roman;serif"/>
          <w:b w:val="false"/>
          <w:color w:val="000000"/>
          <w:sz w:val="22"/>
        </w:rPr>
        <w:t xml:space="preserve">. All shares of Restricted Stock (including any shares received by Holders thereof with respect to shares of Restricted Stock as a result of stock dividends, stock splits or any other form of recapitalization) shall, in the terms of each individual Award Agreement, be subject to such restrictions, including without limitation risks of forfeiture,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Award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6.4 </w:t>
      </w:r>
      <w:r>
        <w:rPr>
          <w:rFonts w:ascii="Times New Roman;serif" w:hAnsi="Times New Roman;serif"/>
          <w:b w:val="false"/>
          <w:color w:val="000000"/>
          <w:sz w:val="22"/>
          <w:u w:val="single"/>
        </w:rPr>
        <w:t>Share Vesting</w:t>
      </w:r>
      <w:r>
        <w:rPr>
          <w:rFonts w:ascii="Times New Roman;serif" w:hAnsi="Times New Roman;serif"/>
          <w:b w:val="false"/>
          <w:color w:val="000000"/>
          <w:sz w:val="22"/>
        </w:rPr>
        <w:t>. No Restricted Stock that is not vested at a Holder’s Termination of Service shall thereafter become vested, except as may be otherwise provided by the Administrator either in the Award Agreement or by action of the Administrator following the grant of the 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6.5 </w:t>
      </w:r>
      <w:r>
        <w:rPr>
          <w:rFonts w:ascii="Times New Roman;serif" w:hAnsi="Times New Roman;serif"/>
          <w:b w:val="false"/>
          <w:color w:val="000000"/>
          <w:sz w:val="22"/>
          <w:u w:val="single"/>
        </w:rPr>
        <w:t>Repurchase or Forfeiture of Restricted Stock</w:t>
      </w:r>
      <w:r>
        <w:rPr>
          <w:rFonts w:ascii="Times New Roman;serif" w:hAnsi="Times New Roman;serif"/>
          <w:b w:val="false"/>
          <w:color w:val="000000"/>
          <w:sz w:val="22"/>
        </w:rPr>
        <w:t xml:space="preserve">. Except as otherwise determined by the Administrator at the time of the grant of the Award or thereafter, (i) if no price was paid by the Holder for the Restricted Stock, as set forth in the individual Award Agreement, upon a Termination of Service during the applicable restriction period, the Holder’s rights in unvested Restricted Stock then subject to restrictions shall lapse, and such Restricted Stock shall be surrendered to the Company and cancelled without consideration, and (ii) if a price was paid by the Holder for the Restricted Stock, as set forth in the individual Award Agreement,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Award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6.6 </w:t>
      </w:r>
      <w:r>
        <w:rPr>
          <w:rFonts w:ascii="Times New Roman;serif" w:hAnsi="Times New Roman;serif"/>
          <w:b w:val="false"/>
          <w:color w:val="000000"/>
          <w:sz w:val="22"/>
          <w:u w:val="single"/>
        </w:rPr>
        <w:t>Certificates for Restricted Stock</w:t>
      </w:r>
      <w:r>
        <w:rPr>
          <w:rFonts w:ascii="Times New Roman;serif" w:hAnsi="Times New Roman;serif"/>
          <w:b w:val="false"/>
          <w:color w:val="000000"/>
          <w:sz w:val="22"/>
        </w:rPr>
        <w:t xml:space="preserve">.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6.7 </w:t>
      </w:r>
      <w:r>
        <w:rPr>
          <w:rFonts w:ascii="Times New Roman;serif" w:hAnsi="Times New Roman;serif"/>
          <w:b w:val="false"/>
          <w:color w:val="000000"/>
          <w:sz w:val="22"/>
          <w:u w:val="single"/>
        </w:rPr>
        <w:t>Section 83(b) Election</w:t>
      </w:r>
      <w:r>
        <w:rPr>
          <w:rFonts w:ascii="Times New Roman;serif" w:hAnsi="Times New Roman;serif"/>
          <w:b w:val="false"/>
          <w:color w:val="000000"/>
          <w:sz w:val="22"/>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7.</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7.1 </w:t>
      </w:r>
      <w:r>
        <w:rPr>
          <w:rFonts w:ascii="Times New Roman;serif" w:hAnsi="Times New Roman;serif"/>
          <w:b w:val="false"/>
          <w:color w:val="000000"/>
          <w:sz w:val="22"/>
          <w:u w:val="single"/>
        </w:rPr>
        <w:t>Grant of Restricted Stock Units</w:t>
      </w:r>
      <w:r>
        <w:rPr>
          <w:rFonts w:ascii="Times New Roman;serif" w:hAnsi="Times New Roman;serif"/>
          <w:b w:val="false"/>
          <w:color w:val="000000"/>
          <w:sz w:val="22"/>
        </w:rPr>
        <w:t xml:space="preserve">. The Administrator is authorized to grant Awards of Restricted Stock Units to any Eligible Individual selected by the Administrator in such amounts and subject to such terms and conditions as determined by the Administrator.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7.2 </w:t>
      </w:r>
      <w:r>
        <w:rPr>
          <w:rFonts w:ascii="Times New Roman;serif" w:hAnsi="Times New Roman;serif"/>
          <w:b w:val="false"/>
          <w:color w:val="000000"/>
          <w:sz w:val="22"/>
          <w:u w:val="single"/>
        </w:rPr>
        <w:t>Term</w:t>
      </w:r>
      <w:r>
        <w:rPr>
          <w:rFonts w:ascii="Times New Roman;serif" w:hAnsi="Times New Roman;serif"/>
          <w:b w:val="false"/>
          <w:color w:val="000000"/>
          <w:sz w:val="22"/>
        </w:rPr>
        <w:t xml:space="preserve">. Except as otherwise provided herein, the term of a Restricted Stock Unit award shall be set by the Administrator in its sole discretion.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7.3 </w:t>
      </w:r>
      <w:r>
        <w:rPr>
          <w:rFonts w:ascii="Times New Roman;serif" w:hAnsi="Times New Roman;serif"/>
          <w:b w:val="false"/>
          <w:color w:val="000000"/>
          <w:sz w:val="22"/>
          <w:u w:val="single"/>
        </w:rPr>
        <w:t>Purchase Price</w:t>
      </w:r>
      <w:r>
        <w:rPr>
          <w:rFonts w:ascii="Times New Roman;serif" w:hAnsi="Times New Roman;serif"/>
          <w:b w:val="false"/>
          <w:color w:val="000000"/>
          <w:sz w:val="22"/>
        </w:rPr>
        <w:t xml:space="preserve">. The Administrator shall specify the purchase price, if any, to be paid by the Holder to the Company with respect to any Restricted Stock Unit award;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value of the consideration shall not be less than the par value of a Share, unless otherwise permitted by Applicable Law. The purchase price per Share may, however, be less than the Fair Market Value. In all cases, legal consideration shall be required for each issuance of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7.4 </w:t>
      </w:r>
      <w:r>
        <w:rPr>
          <w:rFonts w:ascii="Times New Roman;serif" w:hAnsi="Times New Roman;serif"/>
          <w:b w:val="false"/>
          <w:color w:val="000000"/>
          <w:sz w:val="22"/>
          <w:u w:val="single"/>
        </w:rPr>
        <w:t>Vesting of Restricted Stock Units</w:t>
      </w:r>
      <w:r>
        <w:rPr>
          <w:rFonts w:ascii="Times New Roman;serif" w:hAnsi="Times New Roman;serif"/>
          <w:b w:val="false"/>
          <w:color w:val="000000"/>
          <w:sz w:val="22"/>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subject to Section 3.3.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7.5 </w:t>
      </w:r>
      <w:r>
        <w:rPr>
          <w:rFonts w:ascii="Times New Roman;serif" w:hAnsi="Times New Roman;serif"/>
          <w:b w:val="false"/>
          <w:color w:val="000000"/>
          <w:sz w:val="22"/>
          <w:u w:val="single"/>
        </w:rPr>
        <w:t>Maturity and Payment</w:t>
      </w:r>
      <w:r>
        <w:rPr>
          <w:rFonts w:ascii="Times New Roman;serif" w:hAnsi="Times New Roman;serif"/>
          <w:b w:val="false"/>
          <w:color w:val="000000"/>
          <w:sz w:val="22"/>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except as otherwise expressly set forth in an applicable Award Agreement, the maturity date relating to each Restricted Stock Unit shall not occur following the later of (a)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the third month following the end of calendar year in which the applicable portion of the Restricted Stock Unit vests; or (b)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the third month following the end of the Company’s fiscal year in which the applicable portion of the Restricted Stock Unit vests. On the maturity date, the Company shall, subject to Section 10.4(e),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No portion of a Restricted Stock Unit which is unexercisable at a Holder’s Termination of Service shall thereafter vest, except as may be otherwise provided by the Administrator either in the Award Agreement or by action of the Administrator following the grant of the Restricted Stock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7.6 </w:t>
      </w:r>
      <w:r>
        <w:rPr>
          <w:rFonts w:ascii="Times New Roman;serif" w:hAnsi="Times New Roman;serif"/>
          <w:b w:val="false"/>
          <w:color w:val="000000"/>
          <w:sz w:val="22"/>
          <w:u w:val="single"/>
        </w:rPr>
        <w:t>No Rights as a Stockholder</w:t>
      </w:r>
      <w:r>
        <w:rPr>
          <w:rFonts w:ascii="Times New Roman;serif" w:hAnsi="Times New Roman;serif"/>
          <w:b w:val="false"/>
          <w:color w:val="000000"/>
          <w:sz w:val="22"/>
        </w:rPr>
        <w:t>. Unless otherwise determined by the Administrator, a Holder of Restricted Stock Units shall possess no incidents of ownership with respect to the Shares represented by such Restricted Stock Units, unless and until such Shares are transferred to the Holder pursuant to the terms of this Plan and the Award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8.</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PERFORMANCE AWARDS AND STOCK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8.1 </w:t>
      </w:r>
      <w:r>
        <w:rPr>
          <w:rFonts w:ascii="Times New Roman;serif" w:hAnsi="Times New Roman;serif"/>
          <w:b w:val="false"/>
          <w:color w:val="000000"/>
          <w:sz w:val="22"/>
          <w:u w:val="single"/>
        </w:rPr>
        <w:t>Performance Awards</w:t>
      </w:r>
      <w:r>
        <w:rPr>
          <w:rFonts w:ascii="Times New Roman;serif" w:hAnsi="Times New Roman;serif"/>
          <w:b w:val="false"/>
          <w:color w:val="000000"/>
          <w:sz w:val="22"/>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Administrator is authorized to grant Performance Awards, including Awards of Performance Stock Units and Awards of cash bonuses or other cash awards determined in the Administrator’s discretion from time to time, to any Eligible Individual. The value of Performance Awards, including Performance Stock Units, may vest based upon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limiting Section 8.1(a), the Administrator may grant Performance Awards to any Eligible Individual in the form of a cash bonus payable upon the attainment of Performance Criteria, or such other criteria, whether or not objective, which are established by the Administrator, in each case on a specified date or dates or over any period or periods determined by the Administrator.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8.2 </w:t>
      </w:r>
      <w:r>
        <w:rPr>
          <w:rFonts w:ascii="Times New Roman;serif" w:hAnsi="Times New Roman;serif"/>
          <w:b w:val="false"/>
          <w:color w:val="000000"/>
          <w:sz w:val="22"/>
          <w:u w:val="single"/>
        </w:rPr>
        <w:t>Stock Payments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Administrator is authorized to make Stock Payments to any Eligible Individual. The number or value of Shares of any Stock Payment shall be determined by the Administrator and may vest based upon one or more Performance Criteria or any other specific criteria, including service to the Company or any Subsidiary,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8.3 </w:t>
      </w:r>
      <w:r>
        <w:rPr>
          <w:rFonts w:ascii="Times New Roman;serif" w:hAnsi="Times New Roman;serif"/>
          <w:b w:val="false"/>
          <w:color w:val="000000"/>
          <w:sz w:val="22"/>
          <w:u w:val="single"/>
        </w:rPr>
        <w:t>Term</w:t>
      </w:r>
      <w:r>
        <w:rPr>
          <w:rFonts w:ascii="Times New Roman;serif" w:hAnsi="Times New Roman;serif"/>
          <w:b w:val="false"/>
          <w:color w:val="000000"/>
          <w:sz w:val="22"/>
        </w:rPr>
        <w:t xml:space="preserve">. The term of a Performance Award and/or Stock Payment award shall be set by the Administrator in its sole discretion.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8.4 </w:t>
      </w:r>
      <w:r>
        <w:rPr>
          <w:rFonts w:ascii="Times New Roman;serif" w:hAnsi="Times New Roman;serif"/>
          <w:b w:val="false"/>
          <w:color w:val="000000"/>
          <w:sz w:val="22"/>
          <w:u w:val="single"/>
        </w:rPr>
        <w:t>Purchase Price</w:t>
      </w:r>
      <w:r>
        <w:rPr>
          <w:rFonts w:ascii="Times New Roman;serif" w:hAnsi="Times New Roman;serif"/>
          <w:b w:val="false"/>
          <w:color w:val="000000"/>
          <w:sz w:val="22"/>
        </w:rPr>
        <w:t xml:space="preserve">. The Administrator may establish the purchase price of a Performance Award or Shares distributed as a Stock Payment award;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value of the consideration shall not be less than the par value of a Share, unless otherwise permitted by Applicable Law. The purchase price per Share may, however, be less than the Fair Market Value. In all cases, legal consideration shall be required for all Shares issued pursuant to a Performance Award of as a Stock Payment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8.5 </w:t>
      </w:r>
      <w:r>
        <w:rPr>
          <w:rFonts w:ascii="Times New Roman;serif" w:hAnsi="Times New Roman;serif"/>
          <w:b w:val="false"/>
          <w:color w:val="000000"/>
          <w:sz w:val="22"/>
          <w:u w:val="single"/>
        </w:rPr>
        <w:t>Maturity and Vesting</w:t>
      </w:r>
      <w:r>
        <w:rPr>
          <w:rFonts w:ascii="Times New Roman;serif" w:hAnsi="Times New Roman;serif"/>
          <w:b w:val="false"/>
          <w:color w:val="000000"/>
          <w:sz w:val="22"/>
        </w:rPr>
        <w:t>. No portion of a Performance Award or Stock Payment award which is has not vested or matured at a Holder’s Termination of Service shall thereafter mature or vest, except as may be otherwise provided by the Administrator either in the Award Agreement or by action of the Administrator following the grant of the Performance Award or Stock Payment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9.</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STOCK APPRECIATION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9.1 </w:t>
      </w:r>
      <w:r>
        <w:rPr>
          <w:rFonts w:ascii="Times New Roman;serif" w:hAnsi="Times New Roman;serif"/>
          <w:b w:val="false"/>
          <w:color w:val="000000"/>
          <w:sz w:val="22"/>
          <w:u w:val="single"/>
        </w:rPr>
        <w:t>Grant of Stock Appreciation Rights</w:t>
      </w:r>
      <w:r>
        <w:rPr>
          <w:rFonts w:ascii="Times New Roman;serif" w:hAnsi="Times New Roman;serif"/>
          <w:b w:val="false"/>
          <w:color w:val="000000"/>
          <w:sz w:val="22"/>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Administrator is authorized to grant Stock Appreciation Rights to Eligible Individuals from time to time, in its sole discretion, on such terms and conditions as it may determine consistent with the Plan.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w:t>
      </w: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Administrator, but shall not be less than 100% of the Fair Market Value on the date the Stock Appreciation Right is granted.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provisions of Section 9.1(b) to the contrary, in the case of an Stock Appreciation Right that is a Substitute Award, the price per share of the Shares subject to such Stock Appreciation Right may be less than 100% of the Fair Market Value per share on the date of grant;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9.2 </w:t>
      </w:r>
      <w:r>
        <w:rPr>
          <w:rFonts w:ascii="Times New Roman;serif" w:hAnsi="Times New Roman;serif"/>
          <w:b w:val="false"/>
          <w:color w:val="000000"/>
          <w:sz w:val="22"/>
          <w:u w:val="single"/>
        </w:rPr>
        <w:t>Stock Appreciation Right Vesting</w:t>
      </w:r>
      <w:r>
        <w:rPr>
          <w:rFonts w:ascii="Times New Roman;serif" w:hAnsi="Times New Roman;serif"/>
          <w:b w:val="false"/>
          <w:color w:val="000000"/>
          <w:sz w:val="22"/>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Subsidiary, or any other criteria selected by the Administrator. At any time after grant of a Stock Appreciation Right, the Administrator may, in its sole discretion and subject to whatever terms and conditions it selects, accelerate the period during which a Stock Appreciation Right vests.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 portion of a Stock Appreciation Right which is unexercisable at Termination of Service shall thereafter become exercisable, except as may be otherwise provided by the Administrator either in the Award Agreement or by action of the Administrator following the grant of the Stock Appreciation Right.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9.3 </w:t>
      </w:r>
      <w:r>
        <w:rPr>
          <w:rFonts w:ascii="Times New Roman;serif" w:hAnsi="Times New Roman;serif"/>
          <w:b w:val="false"/>
          <w:color w:val="000000"/>
          <w:sz w:val="22"/>
          <w:u w:val="single"/>
        </w:rPr>
        <w:t>Manner of Exercise</w:t>
      </w:r>
      <w:r>
        <w:rPr>
          <w:rFonts w:ascii="Times New Roman;serif" w:hAnsi="Times New Roman;serif"/>
          <w:b w:val="false"/>
          <w:color w:val="000000"/>
          <w:sz w:val="22"/>
        </w:rPr>
        <w:t xml:space="preserve">. All or a portion of an exercisable Stock Appreciation Right shall be deemed exercised upon delivery of all of the following to the stock administrator of the Company, or such other person or entity designated by the Administrator, or his, her or its office, as applicable: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 written or electronic notice complying with the applicable rules established by the Administrator in accordance with Section 10.1 and 10.2 stating that the Stock Appreciation Right, or a portion thereof, is exercised. The notice shall be signed by the Holder or other person then entitled to exercise the Stock Appreciation Right or such portion of the Stock Appreciation Right;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that the Stock Appreciation Right shall be exercised by any person or persons other than the Holder, appropriate proof of the right of such person or persons to exercise the Stock Appreciation Right.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9.4 </w:t>
      </w:r>
      <w:r>
        <w:rPr>
          <w:rFonts w:ascii="Times New Roman;serif" w:hAnsi="Times New Roman;serif"/>
          <w:b w:val="false"/>
          <w:color w:val="000000"/>
          <w:sz w:val="22"/>
          <w:u w:val="single"/>
        </w:rPr>
        <w:t>Stock Appreciation Right Term</w:t>
      </w:r>
      <w:r>
        <w:rPr>
          <w:rFonts w:ascii="Times New Roman;serif" w:hAnsi="Times New Roman;serif"/>
          <w:b w:val="false"/>
          <w:color w:val="000000"/>
          <w:sz w:val="22"/>
        </w:rPr>
        <w:t>. The term of each Stock Appreciation Right (the “</w:t>
      </w:r>
      <w:r>
        <w:rPr>
          <w:rFonts w:ascii="Times New Roman;serif" w:hAnsi="Times New Roman;serif"/>
          <w:b/>
          <w:i/>
          <w:color w:val="000000"/>
          <w:sz w:val="22"/>
        </w:rPr>
        <w:t>Stock Appreciation Right Term</w:t>
      </w:r>
      <w:r>
        <w:rPr>
          <w:color w:val="000000"/>
        </w:rPr>
        <w:t>”</w:t>
      </w:r>
      <w:r>
        <w:rPr>
          <w:rFonts w:ascii="Times New Roman;serif" w:hAnsi="Times New Roman;serif"/>
          <w:b w:val="false"/>
          <w:color w:val="000000"/>
          <w:sz w:val="22"/>
        </w:rPr>
        <w:t xml:space="preserve">) shall be set by the Administrator in its sole discretion;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term shall not be more than ten (10) years from the date the Stock Appreciation Right is granted. The Administrator shall determine the time period, including the time period following a Termination of Service, during which the Holder has the right to exercise a vested Stock Appreciation Right, which time period may not extend beyond the expiration date of the Stock Appreciation Right Term applicable to such Stock Appreciation Right. No portion of a Stock Appreciation Right that is not exercisable at a Holder’s Termination of Service shall thereafter be exercisable, except as may be otherwise provided by the Administrator either in the Award Agreement or by action of the Administrator following the grant of the Stock Appreciation Right. Except as limited by the requirements of Section 409A of the Code and regulations and rulings thereunder, the Administrator may extend the Stock Appreciation Right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9.5 </w:t>
      </w:r>
      <w:r>
        <w:rPr>
          <w:rFonts w:ascii="Times New Roman;serif" w:hAnsi="Times New Roman;serif"/>
          <w:b w:val="false"/>
          <w:color w:val="000000"/>
          <w:sz w:val="22"/>
          <w:u w:val="single"/>
        </w:rPr>
        <w:t>Payment</w:t>
      </w:r>
      <w:r>
        <w:rPr>
          <w:rFonts w:ascii="Times New Roman;serif" w:hAnsi="Times New Roman;serif"/>
          <w:b w:val="false"/>
          <w:color w:val="000000"/>
          <w:sz w:val="22"/>
        </w:rPr>
        <w:t>. Payment of the amounts payable with respect to Stock Appreciation Rights pursuant to this Article 9 shall be in cash, Shares (based on its Fair Market Value as of the date the Stock Appreciation Right is exercised), or a combination of both, as determined by the Administrator.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ADDITIONAL TERMS OF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10.1 </w:t>
      </w:r>
      <w:r>
        <w:rPr>
          <w:rFonts w:ascii="Times New Roman;serif" w:hAnsi="Times New Roman;serif"/>
          <w:b w:val="false"/>
          <w:color w:val="000000"/>
          <w:sz w:val="22"/>
          <w:u w:val="single"/>
        </w:rPr>
        <w:t>Payment</w:t>
      </w:r>
      <w:r>
        <w:rPr>
          <w:rFonts w:ascii="Times New Roman;serif" w:hAnsi="Times New Roman;serif"/>
          <w:b w:val="false"/>
          <w:color w:val="000000"/>
          <w:sz w:val="22"/>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payment of such proceeds is then made to the Company upon settlement of such sale, (d) other form of legal consideration acceptable to the Administrator, or (e) any combination of the foregoing.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10.2 </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The Company or any Subsidiary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withhold, or allow a Holder to elect to have the Company withhold, Shares otherwise issuable under an Award (or allow the surrender of Shares). The number of Shares which may be so withheld or surrendered shall be based on the Holder’s minimum applicable tax withholding rate for federal, state, local and foreign income tax and payroll tax purposes that are applicable to such supplemental taxable income, or such other rate permitted by the Administrator that does not cause adverse accounting consequences.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10.3 </w:t>
      </w:r>
      <w:r>
        <w:rPr>
          <w:rFonts w:ascii="Times New Roman;serif" w:hAnsi="Times New Roman;serif"/>
          <w:b w:val="false"/>
          <w:color w:val="000000"/>
          <w:sz w:val="22"/>
          <w:u w:val="single"/>
        </w:rPr>
        <w:t>Transferability of Awards</w:t>
      </w:r>
      <w:r>
        <w:rPr>
          <w:rFonts w:ascii="Times New Roman;serif" w:hAnsi="Times New Roman;serif"/>
          <w:b w:val="false"/>
          <w:color w:val="000000"/>
          <w:sz w:val="22"/>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otherwise provided in Section 10.3(b): </w:t>
      </w:r>
    </w:p>
    <w:p>
      <w:pPr>
        <w:pStyle w:val="TextBody"/>
        <w:bidi w:val="0"/>
        <w:spacing w:lineRule="auto" w:line="288" w:before="0" w:after="16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No Award under the Plan may be sold, pledged, encumbered,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including without limitation risks of forfeiture, applicable to such Shares have lapsed;</w:t>
      </w:r>
    </w:p>
    <w:p>
      <w:pPr>
        <w:pStyle w:val="TextBody"/>
        <w:bidi w:val="0"/>
        <w:spacing w:lineRule="auto" w:line="288" w:before="0" w:after="16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No Award or interest or right therein shall be liable for the debts, contracts or engagements of the Holder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pStyle w:val="TextBody"/>
        <w:bidi w:val="0"/>
        <w:spacing w:lineRule="auto" w:line="288" w:before="0" w:after="16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During the lifetime of the Holder, only the Holder may exercise an Award (or any portion thereof) granted to him under the Plan, unless it has been disposed of pursuant to a DRO; after the death of the Holder, any exercisable portion of an Award may, prior to the time when such portion becomes unexercisable under the Plan or the applicable Award Agreement, be exercised by Holder’s personal representative or by any person empowered to do so under the deceased Holder’s will or under the then applicable laws of descent and distribution.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Section 10.3(a),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w:t>
      </w: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(iii) any transfer of an Award to a Permitted Transferee shall be without consideration; and (iv)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Award Agreement applicable to the Holder, except to the extent the Plan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change or revocation is filed with the Administrator prior to the Holder’s death.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10.4 </w:t>
      </w:r>
      <w:r>
        <w:rPr>
          <w:rFonts w:ascii="Times New Roman;serif" w:hAnsi="Times New Roman;serif"/>
          <w:b w:val="false"/>
          <w:color w:val="000000"/>
          <w:sz w:val="22"/>
          <w:u w:val="single"/>
        </w:rPr>
        <w:t>Conditions to Issuance of Shares</w:t>
      </w:r>
      <w:r>
        <w:rPr>
          <w:rFonts w:ascii="Times New Roman;serif" w:hAnsi="Times New Roman;serif"/>
          <w:b w:val="false"/>
          <w:color w:val="000000"/>
          <w:sz w:val="22"/>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 as a condition to the issuance or exercise of any Award.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Administrator shall have the right to require any Holder to comply with any timing or other restrictions with respect to the settlement, distribution or exercise of any Award, including a window-period limitation, as may be imposed in the sole discretion of the Administrator.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 fractional Shares shall be issued and the Administrator shall determine, in its sole discretion, whether cash shall be given in lieu of fractional Shares or whether such fractional Shares shall be eliminated by rounding down.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10.5 </w:t>
      </w:r>
      <w:r>
        <w:rPr>
          <w:rFonts w:ascii="Times New Roman;serif" w:hAnsi="Times New Roman;serif"/>
          <w:b w:val="false"/>
          <w:color w:val="000000"/>
          <w:sz w:val="22"/>
          <w:u w:val="single"/>
        </w:rPr>
        <w:t>Forfeiture and Claw-Back Provisions</w:t>
      </w:r>
      <w:r>
        <w:rPr>
          <w:rFonts w:ascii="Times New Roman;serif" w:hAnsi="Times New Roman;serif"/>
          <w:b w:val="false"/>
          <w:color w:val="000000"/>
          <w:sz w:val="22"/>
        </w:rPr>
        <w:t xml:space="preserve">. Pursuant to its general authority to determine the terms and conditions applicable to Awards under the Plan, the Administrator shall have the right to provide, in an Award Agreement or otherwise, or to require a Holder to agree by separate written or electronic instrument, that: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Misconduct; and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11.</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ADMINISTRATION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11.1 </w:t>
      </w:r>
      <w:r>
        <w:rPr>
          <w:rFonts w:ascii="Times New Roman;serif" w:hAnsi="Times New Roman;serif"/>
          <w:b w:val="false"/>
          <w:color w:val="000000"/>
          <w:sz w:val="22"/>
          <w:u w:val="single"/>
        </w:rPr>
        <w:t>Administrator</w:t>
      </w:r>
      <w:r>
        <w:rPr>
          <w:rFonts w:ascii="Times New Roman;serif" w:hAnsi="Times New Roman;serif"/>
          <w:b w:val="false"/>
          <w:color w:val="000000"/>
          <w:sz w:val="22"/>
        </w:rPr>
        <w:t xml:space="preserve">. The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action taken by the Committee shall be valid and effective, whether or not members of the Committee at the time of such action are later determined not to have satisfied the requirements for membership set forth in this Section 11.l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if the Committee does not consist solely of two or more Non-Employee Directors, Awards granted to officers, as defined in Rule 16a-1 of the Exchange Act, and, with respect to such Awards, the terms “Administrator” and “Committee” as used in the Plan shall be deemed to refer to the Board and (b) the Board or Committee may delegate its authority hereunder to the extent permitted by Section 11.6.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11.2 </w:t>
      </w:r>
      <w:r>
        <w:rPr>
          <w:rFonts w:ascii="Times New Roman;serif" w:hAnsi="Times New Roman;serif"/>
          <w:b w:val="false"/>
          <w:color w:val="000000"/>
          <w:sz w:val="22"/>
          <w:u w:val="single"/>
        </w:rPr>
        <w:t>Duties and Powers of Committee</w:t>
      </w:r>
      <w:r>
        <w:rPr>
          <w:rFonts w:ascii="Times New Roman;serif" w:hAnsi="Times New Roman;serif"/>
          <w:b w:val="false"/>
          <w:color w:val="000000"/>
          <w:sz w:val="22"/>
        </w:rPr>
        <w:t xml:space="preserve">. It shall be the duty of the Committee to conduct the general administration of the Plan in accordance with its provisions. The Committee shall have the power to interpret the Plan and the Award Agreement, and to adopt such rules for the administration, interpretation and application of the Plan as are not inconsistent therewith, to interpret, amend or revoke any such rules and to amend any Award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rights or obligations of the Holder of the Award that is the subject of any such Award Agreement are not affected adversely by such amendment, unless the consent of the Holder is obtained or such amendment is otherwise permitted under Section 12.10.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11.3 </w:t>
      </w:r>
      <w:r>
        <w:rPr>
          <w:rFonts w:ascii="Times New Roman;serif" w:hAnsi="Times New Roman;serif"/>
          <w:b w:val="false"/>
          <w:color w:val="000000"/>
          <w:sz w:val="22"/>
          <w:u w:val="single"/>
        </w:rPr>
        <w:t>Action by the Committee</w:t>
      </w:r>
      <w:r>
        <w:rPr>
          <w:rFonts w:ascii="Times New Roman;serif" w:hAnsi="Times New Roman;serif"/>
          <w:b w:val="false"/>
          <w:color w:val="000000"/>
          <w:sz w:val="22"/>
        </w:rPr>
        <w:t xml:space="preserve">.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11.4 </w:t>
      </w:r>
      <w:r>
        <w:rPr>
          <w:rFonts w:ascii="Times New Roman;serif" w:hAnsi="Times New Roman;serif"/>
          <w:b w:val="false"/>
          <w:color w:val="000000"/>
          <w:sz w:val="22"/>
          <w:u w:val="single"/>
        </w:rPr>
        <w:t>Authority of Administrator</w:t>
      </w:r>
      <w:r>
        <w:rPr>
          <w:rFonts w:ascii="Times New Roman;serif" w:hAnsi="Times New Roman;serif"/>
          <w:b w:val="false"/>
          <w:color w:val="000000"/>
          <w:sz w:val="22"/>
        </w:rPr>
        <w:t xml:space="preserve">. Subject to the Company’s Bylaws, the Committee’s Charter and any specific designation in the Plan, the Administrator has the exclusive power, authority and sole discretion to: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Designate Eligible Individuals to receive Awards;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Determine the type or types of Awards to be granted to Eligible Individuals;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Determine the number of Awards to be granted and the number of Shares to which an Award will relate;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Determine whether, to what extent, and pursuant to what circumstances an Award may be settled in, or the exercise price of an Award may be paid in cash, Shares, other Awards, or other property, or an Award may be canceled, forfeited, or surrendered;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Determine to adjust or waive any criteria with respect to Performance Criteria; </w:t>
      </w:r>
    </w:p>
    <w:p>
      <w:pPr>
        <w:pStyle w:val="TextBody"/>
        <w:bidi w:val="0"/>
        <w:spacing w:lineRule="auto" w:line="288" w:before="0" w:after="160"/>
        <w:ind w:left="0" w:right="0" w:firstLine="1411"/>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Prescribe the form of each Award Agreement, which need not be identical for each Holder; </w:t>
      </w:r>
    </w:p>
    <w:p>
      <w:pPr>
        <w:pStyle w:val="TextBody"/>
        <w:bidi w:val="0"/>
        <w:spacing w:lineRule="auto" w:line="288" w:before="0" w:after="160"/>
        <w:ind w:left="0" w:right="0" w:firstLine="1411"/>
        <w:jc w:val="both"/>
        <w:rPr/>
      </w:pPr>
      <w:r>
        <w:rPr>
          <w:rFonts w:ascii="Times New Roman;serif" w:hAnsi="Times New Roman;serif"/>
          <w:b w:val="false"/>
          <w:color w:val="000000"/>
          <w:sz w:val="22"/>
        </w:rPr>
        <w:t>(h)</w:t>
      </w:r>
      <w:r>
        <w:rPr>
          <w:rFonts w:ascii="Times New Roman;serif" w:hAnsi="Times New Roman;serif"/>
          <w:b w:val="false"/>
          <w:color w:val="000000"/>
          <w:sz w:val="22"/>
        </w:rPr>
        <w:t>Determine the Fair Market Value in good faith, if necessary;</w:t>
      </w:r>
    </w:p>
    <w:p>
      <w:pPr>
        <w:pStyle w:val="TextBody"/>
        <w:bidi w:val="0"/>
        <w:spacing w:lineRule="auto" w:line="288" w:before="0" w:after="160"/>
        <w:ind w:left="0" w:right="0" w:firstLine="1411"/>
        <w:jc w:val="both"/>
        <w:rPr/>
      </w:pPr>
      <w:r>
        <w:rPr>
          <w:rFonts w:ascii="Times New Roman;serif" w:hAnsi="Times New Roman;serif"/>
          <w:b w:val="false"/>
          <w:color w:val="000000"/>
          <w:sz w:val="22"/>
        </w:rPr>
        <w:t>(i)</w:t>
      </w:r>
      <w:r>
        <w:rPr>
          <w:rFonts w:ascii="Times New Roman;serif" w:hAnsi="Times New Roman;serif"/>
          <w:b w:val="false"/>
          <w:color w:val="000000"/>
          <w:sz w:val="22"/>
        </w:rPr>
        <w:t>Grant waivers of Plan or Award conditions;</w:t>
      </w:r>
    </w:p>
    <w:p>
      <w:pPr>
        <w:pStyle w:val="TextBody"/>
        <w:bidi w:val="0"/>
        <w:spacing w:lineRule="auto" w:line="288" w:before="0" w:after="160"/>
        <w:ind w:left="0" w:right="0" w:firstLine="1411"/>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Correct any defect, supply any omission or reconcile any inconsistency in this Plan, any Award or any Award Agreement; </w:t>
      </w:r>
    </w:p>
    <w:p>
      <w:pPr>
        <w:pStyle w:val="TextBody"/>
        <w:bidi w:val="0"/>
        <w:spacing w:lineRule="auto" w:line="288" w:before="0" w:after="160"/>
        <w:ind w:left="0" w:right="0" w:firstLine="1411"/>
        <w:jc w:val="both"/>
        <w:rPr/>
      </w:pPr>
      <w:r>
        <w:rPr>
          <w:rFonts w:ascii="Times New Roman;serif" w:hAnsi="Times New Roman;serif"/>
          <w:b w:val="false"/>
          <w:color w:val="000000"/>
          <w:sz w:val="22"/>
        </w:rPr>
        <w:t>(k)</w:t>
      </w:r>
      <w:r>
        <w:rPr>
          <w:rFonts w:ascii="Times New Roman;serif" w:hAnsi="Times New Roman;serif"/>
          <w:b w:val="false"/>
          <w:color w:val="000000"/>
          <w:sz w:val="22"/>
        </w:rPr>
        <w:t>Determine whether an Award has been earned and whether any Performance Criteria has been attained;</w:t>
      </w:r>
    </w:p>
    <w:p>
      <w:pPr>
        <w:pStyle w:val="TextBody"/>
        <w:bidi w:val="0"/>
        <w:spacing w:lineRule="auto" w:line="288" w:before="0" w:after="160"/>
        <w:ind w:left="0" w:right="0" w:firstLine="1411"/>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Decide all other matters that must be determined in connection with an Award;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Establish, adopt, or revise any rules and regulations as it may deem necessary or advisable to administer the Plan;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Interpret the terms of, and any matter arising pursuant to, the Plan or any Award Agreement; </w:t>
      </w:r>
    </w:p>
    <w:p>
      <w:pPr>
        <w:pStyle w:val="TextBody"/>
        <w:bidi w:val="0"/>
        <w:spacing w:lineRule="auto" w:line="288" w:before="0" w:after="160"/>
        <w:ind w:left="0" w:right="0" w:firstLine="1411"/>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Make all other decisions and determinations that may be required pursuant to the Plan or as the Administrator deems necessary or advisable to administer the Plan; and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Accelerate wholly or partially the vesting or lapse of restrictions of any Award or portion thereof at any time after the grant of an Award, subject to whatever terms and conditions it selects and Sections 3.4 and 12.2(c).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11.5 </w:t>
      </w:r>
      <w:r>
        <w:rPr>
          <w:rFonts w:ascii="Times New Roman;serif" w:hAnsi="Times New Roman;serif"/>
          <w:b w:val="false"/>
          <w:color w:val="000000"/>
          <w:sz w:val="22"/>
          <w:u w:val="single"/>
        </w:rPr>
        <w:t>Decisions Binding</w:t>
      </w:r>
      <w:r>
        <w:rPr>
          <w:rFonts w:ascii="Times New Roman;serif" w:hAnsi="Times New Roman;serif"/>
          <w:b w:val="false"/>
          <w:color w:val="000000"/>
          <w:sz w:val="22"/>
        </w:rPr>
        <w:t xml:space="preserve">. The Administrator’s interpretation of the Plan, any Awards granted pursuant to the Plan and any Award Agreement and all decisions and determinations by the Administrator with respect to the Plan are final, binding, and conclusive on all parties. Any dispute regarding the interpretation of the Plan or any Award Agreement shall be submitted by the Participant or Company to the Committee for review. The resolution of such a dispute by the Committee shall be final and binding on the Company and the Participant.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11.6 </w:t>
      </w:r>
      <w:r>
        <w:rPr>
          <w:rFonts w:ascii="Times New Roman;serif" w:hAnsi="Times New Roman;serif"/>
          <w:b w:val="false"/>
          <w:color w:val="000000"/>
          <w:sz w:val="22"/>
          <w:u w:val="single"/>
        </w:rPr>
        <w:t>Delegation of Authority</w:t>
      </w:r>
      <w:r>
        <w:rPr>
          <w:rFonts w:ascii="Times New Roman;serif" w:hAnsi="Times New Roman;serif"/>
          <w:b w:val="false"/>
          <w:color w:val="000000"/>
          <w:sz w:val="22"/>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11;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delegation of administrative authority shall only be permitted to the extent it is permissible under Applicable Law. Any delegation hereunder shall be subject to the restrictions and limits that the Board or Committee specifies at the </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time of such delegation, and the Board may at any time rescind the authority so delegated or appoint a new delegatee. At all times, the delegatee appointed under this Section 11.6 shall serve in such capacity at the pleasure of the Board and the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ARTICLE 12.</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MISCELLANEOUS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 </w:t>
      </w:r>
      <w:r>
        <w:rPr>
          <w:rFonts w:ascii="Times New Roman;serif" w:hAnsi="Times New Roman;serif"/>
          <w:b w:val="false"/>
          <w:color w:val="000000"/>
          <w:sz w:val="22"/>
          <w:u w:val="single"/>
        </w:rPr>
        <w:t>Amendment, Suspension or Termination of the Plan</w:t>
      </w:r>
      <w:r>
        <w:rPr>
          <w:rFonts w:ascii="Times New Roman;serif" w:hAnsi="Times New Roman;serif"/>
          <w:b w:val="false"/>
          <w:color w:val="000000"/>
          <w:sz w:val="22"/>
        </w:rPr>
        <w:t xml:space="preserv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otherwise provided in this Section 12.1,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12.2, increase the limits imposed in Section 3.1 on the maximum number of Shares which may be issued under the Plan. Except as provided in Section 12.10, no amendment, suspension or termination of the Plan shall, without the consent of the Holder, impair any rights or obligations under any Award theretofore granted or awarded, unless the Award itself otherwise expressly so provides.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Board or the Committee may, without stockholder approval, (i) amend any Award to reduce the per share exercise price of such an Award below the per share exercise price as of the date the Award is granted and (ii) grant an Award in exchange for, or in connection with, the cancellation or surrender of an Award having a higher per share exercise price.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 Awards may be granted or awarded during any period of suspension or after termination of the Plan, and in no event may any Award be granted under the Plan after the tenth (10th) anniversary of the date this Plan is approved by the Board (the “Expiration Date”). Any Awards that are outstanding on the Expiration Date shall remain in force according to the terms of the Plan and the applicable Award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12.2 </w:t>
      </w:r>
      <w:r>
        <w:rPr>
          <w:rFonts w:ascii="Times New Roman;serif" w:hAnsi="Times New Roman;serif"/>
          <w:b w:val="false"/>
          <w:color w:val="000000"/>
          <w:sz w:val="22"/>
          <w:u w:val="single"/>
        </w:rPr>
        <w:t>Changes in Common Stock or Assets of the Company, Acquisition or Liquidation of the Company and Other Corporate Events</w:t>
      </w:r>
      <w:r>
        <w:rPr>
          <w:rFonts w:ascii="Times New Roman;serif" w:hAnsi="Times New Roman;serif"/>
          <w:b w:val="false"/>
          <w:color w:val="000000"/>
          <w:sz w:val="22"/>
        </w:rPr>
        <w:t>.</w:t>
      </w:r>
    </w:p>
    <w:p>
      <w:pPr>
        <w:pStyle w:val="TextBody"/>
        <w:bidi w:val="0"/>
        <w:spacing w:lineRule="auto" w:line="288" w:before="0" w:after="16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 the event of any stock dividend, stock split, subdivision, combination or exchange of shares, merger, consolidation, distribution (other than normal cash dividends) of Company assets to stockholders, reclassification, recapitalization, or any other change affecting the Shares of the Company’s stock or the share price of the Company’s stock,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event of any transaction or event described in Section 12.2(a) or any unusual or nonrecurring transactions or events affecting the Company, any Subsidiary of the Company, or the financial statements of the Company or any Subsidiary, or of changes in Applicable Law or accounting principles, including, without limitation, a Change in Control,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 </w:t>
      </w:r>
    </w:p>
    <w:p>
      <w:pPr>
        <w:pStyle w:val="TextBody"/>
        <w:bidi w:val="0"/>
        <w:spacing w:lineRule="auto" w:line="288" w:before="0" w:after="16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having an aggregate value not exceeding the amount that could have been attained upon the exercise of such Award or realization of the Holder’s rights had such Award been currently exercisable or payable or fully vested;</w:t>
      </w:r>
    </w:p>
    <w:p>
      <w:pPr>
        <w:pStyle w:val="TextBody"/>
        <w:bidi w:val="0"/>
        <w:spacing w:lineRule="auto" w:line="288" w:before="0" w:after="16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pStyle w:val="TextBody"/>
        <w:bidi w:val="0"/>
        <w:spacing w:lineRule="auto" w:line="288" w:before="0" w:after="16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pStyle w:val="TextBody"/>
        <w:bidi w:val="0"/>
        <w:spacing w:lineRule="auto" w:line="288" w:before="0" w:after="16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To provide that such Award shall be exercisable or payable or fully vested with respect to all Shares covered thereby, notwithstanding anything to the contrary in the Plan or the applicable Award Agreement; and</w:t>
      </w:r>
    </w:p>
    <w:p>
      <w:pPr>
        <w:pStyle w:val="TextBody"/>
        <w:bidi w:val="0"/>
        <w:spacing w:lineRule="auto" w:line="288" w:before="0" w:after="16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To provide that the Award cannot vest, be exercised or become payable after such event. </w:t>
      </w:r>
    </w:p>
    <w:p>
      <w:pPr>
        <w:pStyle w:val="TextBody"/>
        <w:bidi w:val="0"/>
        <w:spacing w:lineRule="auto" w:line="288" w:before="0" w:after="16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that the successor corporation in a Change in Control fails for any reason to assume or substitute for an Award upon the Change in Control, such Award shall become fully vested and, if applicable, exercisable and all forfeiture restrictions on such Award shall lapse as of immediately prior to the consummation of such Change in Control. If an Award is exercisable in lieu of assumption or substitution in the event of a Change in Control, the Administrator shall notify the Holder that the Award shall be fully exercisable for a period of fifteen (15) days from the date of such notice, contingent upon the occurrence of the Change in Control, and the Award shall terminate upon the expiration of such period.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Administrator may, in its sole discretion, include such further provisions and limitations in any Award, agreement or certificate, as it may deem equitable and in the best interests of the Company that are not inconsistent with the provisions of the Plan. </w:t>
      </w:r>
    </w:p>
    <w:p>
      <w:pPr>
        <w:pStyle w:val="TextBody"/>
        <w:bidi w:val="0"/>
        <w:spacing w:lineRule="auto" w:line="288" w:before="0" w:after="160"/>
        <w:ind w:left="0" w:right="0" w:firstLine="1411"/>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 adjustment or action described in this Section 12.2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 </w:t>
      </w:r>
    </w:p>
    <w:p>
      <w:pPr>
        <w:pStyle w:val="TextBody"/>
        <w:bidi w:val="0"/>
        <w:spacing w:lineRule="auto" w:line="288" w:before="0" w:after="160"/>
        <w:ind w:left="0" w:right="0" w:firstLine="1411"/>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The existence of the Plan, any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lineRule="auto" w:line="288" w:before="0" w:after="160"/>
        <w:ind w:left="0" w:right="0" w:firstLine="1411"/>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No action shall be taken under this Section 12.2 which shall cause an Award to fail to comply with Section 409A of the Code or the Treasury Regulations thereunder, to the extent applicable to such Award. </w:t>
      </w:r>
    </w:p>
    <w:p>
      <w:pPr>
        <w:pStyle w:val="TextBody"/>
        <w:bidi w:val="0"/>
        <w:spacing w:lineRule="auto" w:line="288" w:before="0" w:after="160"/>
        <w:ind w:left="0" w:right="0" w:firstLine="1411"/>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In the event of any pending stock dividend, stock split, subdivision, combination or exchange of shares, merger, consolidation, distribution (other than normal cash dividends) of Company assets to stockholders, reclassification, recapitalization or any other change affecting the Shares or the share price of the Common Stock, for reasons of administrative convenience, the Company in its sole discretion may refuse to permit the exercise of any Award during a period of up to thirty (30) days prior to the consummation of any such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12.3 </w:t>
      </w:r>
      <w:r>
        <w:rPr>
          <w:rFonts w:ascii="Times New Roman;serif" w:hAnsi="Times New Roman;serif"/>
          <w:b w:val="false"/>
          <w:color w:val="000000"/>
          <w:sz w:val="22"/>
          <w:u w:val="single"/>
        </w:rPr>
        <w:t>Approval of Plan by Stockholders</w:t>
      </w:r>
      <w:r>
        <w:rPr>
          <w:rFonts w:ascii="Times New Roman;serif" w:hAnsi="Times New Roman;serif"/>
          <w:b w:val="false"/>
          <w:color w:val="000000"/>
          <w:sz w:val="22"/>
        </w:rPr>
        <w:t xml:space="preserve">. The Plan will be submitted for the approval of the Company’s stockholders within twelve (12) months after the date of the Board’s initial adoption of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12.4 </w:t>
      </w:r>
      <w:r>
        <w:rPr>
          <w:rFonts w:ascii="Times New Roman;serif" w:hAnsi="Times New Roman;serif"/>
          <w:b w:val="false"/>
          <w:color w:val="000000"/>
          <w:sz w:val="22"/>
          <w:u w:val="single"/>
        </w:rPr>
        <w:t>No Stockholders Rights</w:t>
      </w:r>
      <w:r>
        <w:rPr>
          <w:rFonts w:ascii="Times New Roman;serif" w:hAnsi="Times New Roman;serif"/>
          <w:b w:val="false"/>
          <w:color w:val="000000"/>
          <w:sz w:val="22"/>
        </w:rPr>
        <w:t xml:space="preserve">. Except as otherwise provided herein, a Holder shall have none of the rights of a stockholder with respect to Shares covered by any Award until the Holder becomes the record owner of such Shares. </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val="false"/>
          <w:color w:val="000000"/>
          <w:sz w:val="22"/>
        </w:rPr>
        <w:t xml:space="preserve">Without limiting the generality of the foregoing, no Holder will have any of the rights of a stockholder with respect to any Shares until the Shares are issued to the Holder. After Shares are issued to the Holder, the Holder will be a stockholder and have all the rights of a stockholder with respect to such Shares, including the right to vote and receive all dividends or other distributions made or paid with respect to such Shares;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Shares are Restricted Stock, then any new, additional or different securities the Holder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Holder will have no right to retain such stock dividends or stock distributions with respect to Shares that are repurchased by the Company pursuant to this Plan or the Award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12.5 </w:t>
      </w:r>
      <w:r>
        <w:rPr>
          <w:rFonts w:ascii="Times New Roman;serif" w:hAnsi="Times New Roman;serif"/>
          <w:b w:val="false"/>
          <w:color w:val="000000"/>
          <w:sz w:val="22"/>
          <w:u w:val="single"/>
        </w:rPr>
        <w:t>Paperless Administration</w:t>
      </w:r>
      <w:r>
        <w:rPr>
          <w:rFonts w:ascii="Times New Roman;serif" w:hAnsi="Times New Roman;serif"/>
          <w:b w:val="false"/>
          <w:color w:val="000000"/>
          <w:sz w:val="22"/>
        </w:rPr>
        <w:t xml:space="preserve">.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49"/>
        <w:jc w:val="left"/>
        <w:rPr/>
      </w:pPr>
      <w:r>
        <w:rPr>
          <w:rFonts w:ascii="Times New Roman;serif" w:hAnsi="Times New Roman;serif"/>
          <w:b w:val="false"/>
          <w:color w:val="000000"/>
          <w:sz w:val="22"/>
        </w:rPr>
        <w:t xml:space="preserve">12.6 </w:t>
      </w:r>
      <w:r>
        <w:rPr>
          <w:rFonts w:ascii="Times New Roman;serif" w:hAnsi="Times New Roman;serif"/>
          <w:b w:val="false"/>
          <w:color w:val="000000"/>
          <w:sz w:val="22"/>
          <w:u w:val="single"/>
        </w:rPr>
        <w:t>Effect of Plan upon Other Compensation Plans</w:t>
      </w:r>
      <w:r>
        <w:rPr>
          <w:rFonts w:ascii="Times New Roman;serif" w:hAnsi="Times New Roman;serif"/>
          <w:b w:val="false"/>
          <w:color w:val="000000"/>
          <w:sz w:val="22"/>
        </w:rPr>
        <w:t xml:space="preserve">.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except as otherwise provided herein,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12.7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xml:space="preserve">. The Plan, the granting and vesting of Awards under the Plan and the issuance and delivery of Shares and the payment of money under the Plan or under Awards granted or awarded hereunder are subject to compliance with all Applicable Laws (including but not limited to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Laws. To the extent permitted by Applicable Laws, the Plan and Awards granted or awarded hereunder shall be deemed amended to the extent necessary to conform to Applicable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12.8 </w:t>
      </w:r>
      <w:r>
        <w:rPr>
          <w:rFonts w:ascii="Times New Roman;serif" w:hAnsi="Times New Roman;serif"/>
          <w:b w:val="false"/>
          <w:color w:val="000000"/>
          <w:sz w:val="22"/>
          <w:u w:val="single"/>
        </w:rPr>
        <w:t>Titles and Headings, References to Sections of the Code, Exchange Act or Securities Act</w:t>
      </w:r>
      <w:r>
        <w:rPr>
          <w:rFonts w:ascii="Times New Roman;serif" w:hAnsi="Times New Roman;serif"/>
          <w:b w:val="false"/>
          <w:color w:val="000000"/>
          <w:sz w:val="22"/>
        </w:rPr>
        <w:t xml:space="preserve">. The titles and headings of the Sections in the Plan are for convenience of reference only and, in the event of any conflict, the text of the Plan, rather than such titles or headings, shall control. References to sections of the Code, the Exchange Act or Securities Act shall include any amendment or successor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12.9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The Plan and any agreements hereunder shall be administered, interpreted and enforced under the internal laws of the State of Delaware without regard to conflicts of laws thereof or of any other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12.10 </w:t>
      </w:r>
      <w:r>
        <w:rPr>
          <w:rFonts w:ascii="Times New Roman;serif" w:hAnsi="Times New Roman;serif"/>
          <w:b w:val="false"/>
          <w:color w:val="000000"/>
          <w:sz w:val="22"/>
          <w:u w:val="single"/>
        </w:rPr>
        <w:t>Securities Law and Other Regulatory Compliance</w:t>
      </w:r>
      <w:r>
        <w:rPr>
          <w:rFonts w:ascii="Times New Roman;serif" w:hAnsi="Times New Roman;serif"/>
          <w:b w:val="false"/>
          <w:color w:val="000000"/>
          <w:sz w:val="22"/>
        </w:rPr>
        <w:t>. An Award will not be effective unless such Award is in compliance with all applicable federal, state and foreign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Securities and Exchange Commission or to effect compliance with the registration, qualification or listing requirements of any state securities laws, stock exchange or automated quotation system, and the Company will have no liability for any inability or failure to do so. As a condition to the grant of any Award, the Company may require the Holder to satisfy any qualifications that may be necessary or appropriate to evidence compliance with any applicable law or regulation and to make any representation or warranty with respect thereto as may be requested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12.11 </w:t>
      </w:r>
      <w:r>
        <w:rPr>
          <w:rFonts w:ascii="Times New Roman;serif" w:hAnsi="Times New Roman;serif"/>
          <w:b w:val="false"/>
          <w:color w:val="000000"/>
          <w:sz w:val="22"/>
          <w:u w:val="single"/>
        </w:rPr>
        <w:t>Section 409A</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To the extent that the Administrator determines that any Award granted under the Plan is subject to Section 409A of the Code,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Further:</w:t>
      </w:r>
    </w:p>
    <w:p>
      <w:pPr>
        <w:pStyle w:val="TextBody"/>
        <w:bidi w:val="0"/>
        <w:spacing w:lineRule="auto" w:line="288" w:before="0" w:after="0"/>
        <w:ind w:left="0" w:right="0" w:firstLine="1411"/>
        <w:jc w:val="both"/>
        <w:rPr/>
      </w:pPr>
      <w:r>
        <w:rPr>
          <w:rFonts w:ascii="Times New Roman;serif" w:hAnsi="Times New Roman;serif"/>
          <w:b w:val="false"/>
          <w:color w:val="000000"/>
          <w:sz w:val="22"/>
        </w:rPr>
        <w:t>(a)</w:t>
      </w:r>
      <w:r>
        <w:rPr>
          <w:rFonts w:ascii="Times New Roman;serif" w:hAnsi="Times New Roman;serif"/>
          <w:b w:val="false"/>
          <w:color w:val="000000"/>
          <w:sz w:val="22"/>
        </w:rPr>
        <w:t>Termination of Service shall not be deemed to have occurred for purposes of any provision of this Plan providing for the payment of any amounts following a Termination of Service that constitute “nonqualified deferred compensation” within the meaning of Section 409A of the Code and the final regulations issued thereunder unless or until such termination also constitutes a “separation from service” within the meaning of Section 409A of the Code and the final regulations issued thereunder.</w:t>
      </w:r>
    </w:p>
    <w:p>
      <w:pPr>
        <w:pStyle w:val="TextBody"/>
        <w:bidi w:val="0"/>
        <w:spacing w:lineRule="auto" w:line="288" w:before="0" w:after="0"/>
        <w:ind w:left="0" w:right="0" w:firstLine="1411"/>
        <w:jc w:val="both"/>
        <w:rPr/>
      </w:pPr>
      <w:r>
        <w:rPr>
          <w:rFonts w:ascii="Times New Roman;serif" w:hAnsi="Times New Roman;serif"/>
          <w:b w:val="false"/>
          <w:color w:val="000000"/>
          <w:sz w:val="22"/>
        </w:rPr>
        <w:t>(b)</w:t>
      </w:r>
      <w:r>
        <w:rPr>
          <w:rFonts w:ascii="Times New Roman;serif" w:hAnsi="Times New Roman;serif"/>
          <w:b w:val="false"/>
          <w:color w:val="000000"/>
          <w:sz w:val="22"/>
        </w:rPr>
        <w:t>If any payment to a Holder in connection with his or her Termination of Service is determined to constitute “nonqualified deferred compensation” within the meaning of Section 409A of the Code and the final regulations issued thereunder and the Holder is a “specified employee” as defined in Section 409A of the Code and the final regulations issued thereunder, no part of such payment shall be paid before the day that is six months plus one day after the Holder’s Termination of Service for reasons other than his or her death (the “New Payment Date”). The aggregate of any payments that otherwise would have been paid to the Holder during the period between the date of such Termination of Service and the New Payment Date shall be paid to the Holder in a single sum on the earlier of (i) such New Payment Date, or (ii) the Holder’s death. Thereafter, any payments that remain outstanding as of the day immediately following the New Payment Date shall be paid without delay over the time period originally scheduled, in accordance with the terms of this Plan and the Holder’s Award Agreement.</w:t>
      </w:r>
    </w:p>
    <w:p>
      <w:pPr>
        <w:pStyle w:val="TextBody"/>
        <w:bidi w:val="0"/>
        <w:spacing w:lineRule="auto" w:line="288" w:before="0" w:after="0"/>
        <w:ind w:left="0" w:right="0" w:firstLine="1411"/>
        <w:jc w:val="both"/>
        <w:rPr/>
      </w:pPr>
      <w:r>
        <w:rPr>
          <w:rFonts w:ascii="Times New Roman;serif" w:hAnsi="Times New Roman;serif"/>
          <w:b w:val="false"/>
          <w:color w:val="000000"/>
          <w:sz w:val="22"/>
        </w:rPr>
        <w:t>(c)</w:t>
      </w:r>
      <w:r>
        <w:rPr>
          <w:rFonts w:ascii="Times New Roman;serif" w:hAnsi="Times New Roman;serif"/>
          <w:b w:val="false"/>
          <w:color w:val="000000"/>
          <w:sz w:val="22"/>
        </w:rPr>
        <w:t>Whenever a payment under an Award Agreement specifies a payment period with reference to a number of days (e.g., “payment shall be made within 30 days following the date of Termination of Service”), the actual date of payment within the specified period shall be within the sole discretion of the Company (except as otherwise set forth in Section 12.11(b)).</w:t>
      </w:r>
    </w:p>
    <w:p>
      <w:pPr>
        <w:pStyle w:val="TextBody"/>
        <w:bidi w:val="0"/>
        <w:spacing w:lineRule="auto" w:line="288" w:before="0" w:after="240"/>
        <w:ind w:left="0" w:right="0" w:firstLine="1411"/>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herein to the contrary, the Company shall have no liability to any Holder or to any other person if the payments and benefits provided under this Plan or pursuant to any Award Agreement that are intended to be exempt from or compliant with Section 409A of the Code are not so exempt or compliant.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12.12 </w:t>
      </w:r>
      <w:r>
        <w:rPr>
          <w:rFonts w:ascii="Times New Roman;serif" w:hAnsi="Times New Roman;serif"/>
          <w:b w:val="false"/>
          <w:color w:val="000000"/>
          <w:sz w:val="22"/>
          <w:u w:val="single"/>
        </w:rPr>
        <w:t>No Rights to Awards</w:t>
      </w:r>
      <w:r>
        <w:rPr>
          <w:rFonts w:ascii="Times New Roman;serif" w:hAnsi="Times New Roman;serif"/>
          <w:b w:val="false"/>
          <w:color w:val="000000"/>
          <w:sz w:val="22"/>
        </w:rPr>
        <w:t>. No Eligible Individual or other person shall have any claim to be granted any Award pursuant to the Plan, and neither the Company nor the Administrator is obligated to treat Eligible Individuals, Holders or any other persons uniformly.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12.13 </w:t>
      </w:r>
      <w:r>
        <w:rPr>
          <w:rFonts w:ascii="Times New Roman;serif" w:hAnsi="Times New Roman;serif"/>
          <w:b w:val="false"/>
          <w:color w:val="000000"/>
          <w:sz w:val="22"/>
          <w:u w:val="single"/>
        </w:rPr>
        <w:t>Unfunded Status of Awards</w:t>
      </w:r>
      <w:r>
        <w:rPr>
          <w:rFonts w:ascii="Times New Roman;serif" w:hAnsi="Times New Roman;serif"/>
          <w:b w:val="false"/>
          <w:color w:val="000000"/>
          <w:sz w:val="22"/>
        </w:rPr>
        <w:t xml:space="preserve">. The Plan is intended to be an “unfunded” plan for incentive compensation. With respect to any payments not yet made to a Holder pursuant to an Award, nothing contained in the Plan or any Award Agreement shall give the Holder any rights that are greater than those of a general creditor of the Company or any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12.14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entitled pursuant to the Company’s Certificate of Incorporation or Bylaws, as a matter of law, or otherwise, or any power that the Company may have to indemnify them or hold them harmless.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12.15 </w:t>
      </w:r>
      <w:r>
        <w:rPr>
          <w:rFonts w:ascii="Times New Roman;serif" w:hAnsi="Times New Roman;serif"/>
          <w:b w:val="false"/>
          <w:color w:val="000000"/>
          <w:sz w:val="22"/>
          <w:u w:val="single"/>
        </w:rPr>
        <w:t>Relationship to other Benefits</w:t>
      </w:r>
      <w:r>
        <w:rPr>
          <w:rFonts w:ascii="Times New Roman;serif" w:hAnsi="Times New Roman;serif"/>
          <w:b w:val="false"/>
          <w:color w:val="000000"/>
          <w:sz w:val="22"/>
        </w:rPr>
        <w:t xml:space="preserve">.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12.16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The expenses of administering the Plan shall be borne by the Company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12.17 </w:t>
      </w:r>
      <w:r>
        <w:rPr>
          <w:rFonts w:ascii="Times New Roman;serif" w:hAnsi="Times New Roman;serif"/>
          <w:b w:val="false"/>
          <w:color w:val="000000"/>
          <w:sz w:val="22"/>
          <w:u w:val="single"/>
        </w:rPr>
        <w:t>Escrow; Pledge of Shares</w:t>
      </w:r>
      <w:r>
        <w:rPr>
          <w:rFonts w:ascii="Times New Roman;serif" w:hAnsi="Times New Roman;serif"/>
          <w:b w:val="false"/>
          <w:color w:val="000000"/>
          <w:sz w:val="22"/>
        </w:rPr>
        <w:t xml:space="preserve">. To enforce any restrictions on a Holder’s Shares, the Committee may require the Holder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Holder who is permitted to execute a promissory note as partial or full consideration for the purchase of Shares under this Plan will be required to pledge and deposit with the Company all or part of the Shares so purchased as collateral to secure the payment of the Holder’s obligation to the Company under the promissory note;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Committee may require or accept other or additional forms of collateral to secure the payment of such obligation and, in any event, the Company will have full recourse against the Holder under the promissory note notwithstanding any pledge of the Holder’s Shares or other collateral. In connection with any pledge of the Shares, the Holder will be required to execute and deliver a written pledge agreement in such form as the Committee will from time to time approve. The Shares purchased with the promissory note may be released from the pledge on a pro rata basis as the promissory note is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12.18 </w:t>
      </w:r>
      <w:r>
        <w:rPr>
          <w:rFonts w:ascii="Times New Roman;serif" w:hAnsi="Times New Roman;serif"/>
          <w:b w:val="false"/>
          <w:color w:val="000000"/>
          <w:sz w:val="22"/>
          <w:u w:val="single"/>
        </w:rPr>
        <w:t>No Obligation to Employ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Nothing in this Plan or any Award granted under this Plan will confer or be deemed to confer on any Holder any right to continue in the employ of, or to continue any other relationship with, the Company or any Parent or Subsidiary of the Company, provide any employment-related rights, or limit in any way the right of the Company or any Parent or Subsidiary of the Company to terminate Holder’s employment or other relationship at any time, subject to applicable legal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pPr>
      <w:r>
        <w:rPr>
          <w:rFonts w:ascii="Times New Roman;serif" w:hAnsi="Times New Roman;serif"/>
          <w:b w:val="false"/>
          <w:color w:val="000000"/>
          <w:sz w:val="22"/>
        </w:rPr>
        <w:t xml:space="preserve">12.19 </w:t>
      </w:r>
      <w:r>
        <w:rPr>
          <w:rFonts w:ascii="Times New Roman;serif" w:hAnsi="Times New Roman;serif"/>
          <w:b w:val="false"/>
          <w:color w:val="000000"/>
          <w:sz w:val="22"/>
          <w:u w:val="single"/>
        </w:rPr>
        <w:t>Insider Trading Policy</w:t>
      </w:r>
      <w:r>
        <w:rPr>
          <w:rFonts w:ascii="Times New Roman;serif" w:hAnsi="Times New Roman;serif"/>
          <w:b w:val="false"/>
          <w:color w:val="000000"/>
          <w:sz w:val="22"/>
        </w:rPr>
        <w:t>. Each Holder who receives an Award shall comply with all laws and any policy adopted by the Company from time to time covering transactions in the Company’s securities by Employees, Consultants, officers and/or Directors of the Company.</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By Principal Executive Officer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Keith W. Pfeil, certify that: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Globus Medical, Inc.;</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54" w:type="dxa"/>
        <w:jc w:val="left"/>
        <w:tblInd w:w="0" w:type="dxa"/>
        <w:tblLayout w:type="fixed"/>
        <w:tblCellMar>
          <w:top w:w="28" w:type="dxa"/>
          <w:left w:w="28" w:type="dxa"/>
          <w:bottom w:w="28" w:type="dxa"/>
          <w:right w:w="28" w:type="dxa"/>
        </w:tblCellMar>
      </w:tblPr>
      <w:tblGrid>
        <w:gridCol w:w="667"/>
        <w:gridCol w:w="587"/>
        <w:gridCol w:w="590"/>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KEITH W. PFEIL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Keith W. Pfeil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Director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By Principal Financial Officer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Kyle R. Kline, certify that: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Globus Medical, Inc.;</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58" w:type="dxa"/>
        <w:jc w:val="left"/>
        <w:tblInd w:w="0" w:type="dxa"/>
        <w:tblLayout w:type="fixed"/>
        <w:tblCellMar>
          <w:top w:w="28" w:type="dxa"/>
          <w:left w:w="28" w:type="dxa"/>
          <w:bottom w:w="28" w:type="dxa"/>
          <w:right w:w="28" w:type="dxa"/>
        </w:tblCellMar>
      </w:tblPr>
      <w:tblGrid>
        <w:gridCol w:w="667"/>
        <w:gridCol w:w="587"/>
        <w:gridCol w:w="590"/>
        <w:gridCol w:w="704"/>
        <w:gridCol w:w="704"/>
        <w:gridCol w:w="100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KYLE R. KLINE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(Section 1350 of Chapter 63 of Title 18 of the United States Code), Keith W. Pfeil, President and Chief Executive Officer, and Kyle R. Kline, Chief Financial Officer of Globus Medical, Inc. (the “Company”), each certifies with respect to the Quarterly Report of the Company on Form 10-Q for the period ended June 30, 2026 (the “Report”) that, to the best of his knowledge: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3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054" w:type="dxa"/>
        <w:jc w:val="left"/>
        <w:tblInd w:w="0" w:type="dxa"/>
        <w:tblLayout w:type="fixed"/>
        <w:tblCellMar>
          <w:top w:w="28" w:type="dxa"/>
          <w:left w:w="28" w:type="dxa"/>
          <w:bottom w:w="28" w:type="dxa"/>
          <w:right w:w="28" w:type="dxa"/>
        </w:tblCellMar>
      </w:tblPr>
      <w:tblGrid>
        <w:gridCol w:w="667"/>
        <w:gridCol w:w="587"/>
        <w:gridCol w:w="590"/>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KEITH W. PFEIL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Keith W. Pfeil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KYLE R. KLINE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(Section 1350 of Chapter 63 of Title 18 of the United States Code)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237831/000162828026011209/gmed-20251231.htm" TargetMode="External"/><Relationship Id="rId4" Type="http://schemas.openxmlformats.org/officeDocument/2006/relationships/hyperlink" Target="https://www.sec.gov/ix?doc=/Archives/edgar/data/1237831/000156276225000200/gmed-20250630x10q.htm" TargetMode="External"/><Relationship Id="rId5" Type="http://schemas.openxmlformats.org/officeDocument/2006/relationships/hyperlink" Target="https://www.sec.gov/ix?doc=/Archives/edgar/data/0001237831/000162828026011209/gmed-20251231.htm" TargetMode="External"/><Relationship Id="rId6" Type="http://schemas.openxmlformats.org/officeDocument/2006/relationships/hyperlink" Target="https://www.sec.gov/ix?doc=/Archives/edgar/data/0001237831/000162828026011209/gmed-20251231.htm" TargetMode="External"/><Relationship Id="rId7" Type="http://schemas.openxmlformats.org/officeDocument/2006/relationships/hyperlink" Target="https://www.sec.gov/ix?doc=/Archives/edgar/data/0001237831/000162828026011209/gmed-202512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38028</Words>
  <Characters>205349</Characters>
  <CharactersWithSpaces>241846</CharactersWithSpaces>
  <Paragraphs>3637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