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29" w:lineRule="exact"/>
        <w:rPr>
          <w:sz w:val="24"/>
          <w:szCs w:val="24"/>
          <w:color w:val="auto"/>
        </w:rPr>
      </w:pPr>
    </w:p>
    <w:p>
      <w:pPr>
        <w:jc w:val="center"/>
        <w:spacing w:after="0" w:line="256" w:lineRule="auto"/>
        <w:rPr>
          <w:sz w:val="20"/>
          <w:szCs w:val="20"/>
          <w:color w:val="auto"/>
        </w:rPr>
      </w:pPr>
      <w:r>
        <w:rPr>
          <w:rFonts w:ascii="Times New Roman" w:cs="Times New Roman" w:eastAsia="Times New Roman" w:hAnsi="Times New Roman"/>
          <w:sz w:val="20"/>
          <w:szCs w:val="20"/>
          <w:b w:val="1"/>
          <w:bCs w:val="1"/>
          <w:color w:val="auto"/>
        </w:rPr>
        <w:t>INFORMATION TO BE INCLUDED IN STATEMENTS FILED PURSUANT TO RULE 13d-1(b), (c), AND (d) AND AMENDMENTS THERETO FILED PURSUANT TO RULE 13d-2(b)</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(AMENDMENT NO. 1)*</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GLOBUS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(Name of Issuer)</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379577208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(CUSIP Number)</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60" w:right="9100" w:hanging="4"/>
        <w:spacing w:after="0" w:line="254" w:lineRule="auto"/>
        <w:tabs>
          <w:tab w:leader="none" w:pos="984"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Rule 13d-1(b) [ ] Rule 13d-1(c) [ ] Rule 13d-1(d)</w:t>
      </w:r>
    </w:p>
    <w:p>
      <w:pPr>
        <w:spacing w:after="0" w:line="187" w:lineRule="exact"/>
        <w:rPr>
          <w:rFonts w:ascii="Times New Roman" w:cs="Times New Roman" w:eastAsia="Times New Roman" w:hAnsi="Times New Roman"/>
          <w:sz w:val="20"/>
          <w:szCs w:val="20"/>
          <w:color w:val="auto"/>
        </w:rPr>
      </w:pPr>
    </w:p>
    <w:p>
      <w:pPr>
        <w:ind w:left="340" w:right="20" w:hanging="324"/>
        <w:spacing w:after="0" w:line="29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9"/>
          <w:szCs w:val="19"/>
          <w:color w:val="auto"/>
        </w:rPr>
        <w:t>The remainder of this cover page shall be filled out for a reporting person’s initial filing on this form with respect to the subject class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9"/>
          <w:szCs w:val="19"/>
          <w:color w:val="auto"/>
        </w:rPr>
        <w:t>securities, and for any subsequent amendment containing information which would alter disclosures provided in a prior cover page.</w:t>
      </w:r>
    </w:p>
    <w:p>
      <w:pPr>
        <w:spacing w:after="0" w:line="151"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450"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03"/>
        </w:trPr>
        <w:tc>
          <w:tcPr>
            <w:tcW w:w="34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CUSIP No. 379577208</w:t>
            </w:r>
          </w:p>
        </w:tc>
        <w:tc>
          <w:tcPr>
            <w:tcW w:w="4480" w:type="dxa"/>
            <w:vAlign w:val="bottom"/>
            <w:tcBorders>
              <w:right w:val="single" w:sz="8" w:color="auto"/>
            </w:tcBorders>
          </w:tcPr>
          <w:p>
            <w:pPr>
              <w:ind w:left="2060"/>
              <w:spacing w:after="0"/>
              <w:rPr>
                <w:sz w:val="20"/>
                <w:szCs w:val="20"/>
                <w:color w:val="auto"/>
              </w:rPr>
            </w:pPr>
            <w:r>
              <w:rPr>
                <w:rFonts w:ascii="Times New Roman" w:cs="Times New Roman" w:eastAsia="Times New Roman" w:hAnsi="Times New Roman"/>
                <w:sz w:val="20"/>
                <w:szCs w:val="20"/>
                <w:color w:val="auto"/>
              </w:rPr>
              <w:t>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20"/>
                <w:szCs w:val="20"/>
                <w:color w:val="auto"/>
              </w:rPr>
              <w:t>Page 2 of 5 Pages</w:t>
            </w:r>
          </w:p>
        </w:tc>
      </w:tr>
      <w:tr>
        <w:trPr>
          <w:trHeight w:val="48"/>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6180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6180455"/>
                    </a:xfrm>
                    <a:prstGeom prst="rect">
                      <a:avLst/>
                    </a:prstGeom>
                    <a:noFill/>
                  </pic:spPr>
                </pic:pic>
              </a:graphicData>
            </a:graphic>
          </wp:anchor>
        </w:drawing>
      </w:r>
    </w:p>
    <w:p>
      <w:pPr>
        <w:spacing w:after="0" w:line="254" w:lineRule="exact"/>
        <w:rPr>
          <w:sz w:val="20"/>
          <w:szCs w:val="20"/>
          <w:color w:val="auto"/>
        </w:rPr>
      </w:pPr>
    </w:p>
    <w:p>
      <w:pPr>
        <w:ind w:left="620" w:hanging="396"/>
        <w:spacing w:after="0"/>
        <w:tabs>
          <w:tab w:leader="none" w:pos="6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 OR</w:t>
      </w:r>
    </w:p>
    <w:p>
      <w:pPr>
        <w:spacing w:after="0" w:line="21" w:lineRule="exact"/>
        <w:rPr>
          <w:rFonts w:ascii="Times New Roman" w:cs="Times New Roman" w:eastAsia="Times New Roman" w:hAnsi="Times New Roman"/>
          <w:sz w:val="20"/>
          <w:szCs w:val="20"/>
          <w:color w:val="auto"/>
        </w:rPr>
      </w:pPr>
    </w:p>
    <w:p>
      <w:pPr>
        <w:ind w:left="6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I.R.S. IDENTIFICATION NOS. OF ABOVE PERSONS (ENTITIES ONLY)</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Kayne Anderson Rudnick Investment Management, LLC</w:t>
      </w:r>
    </w:p>
    <w:p>
      <w:pPr>
        <w:spacing w:after="0" w:line="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95-4575414</w:t>
      </w:r>
    </w:p>
    <w:p>
      <w:pPr>
        <w:sectPr>
          <w:pgSz w:w="11900" w:h="16838" w:orient="portrait"/>
          <w:cols w:equalWidth="0" w:num="1">
            <w:col w:w="11240"/>
          </w:cols>
          <w:pgMar w:left="320" w:top="471" w:right="339" w:bottom="1440" w:gutter="0" w:footer="0" w:header="0"/>
        </w:sectPr>
      </w:pPr>
    </w:p>
    <w:p>
      <w:pPr>
        <w:spacing w:after="0" w:line="99" w:lineRule="exact"/>
        <w:rPr>
          <w:sz w:val="20"/>
          <w:szCs w:val="20"/>
          <w:color w:val="auto"/>
        </w:rPr>
      </w:pPr>
    </w:p>
    <w:p>
      <w:pPr>
        <w:ind w:left="620" w:right="3340" w:hanging="399"/>
        <w:spacing w:after="0" w:line="269" w:lineRule="auto"/>
        <w:tabs>
          <w:tab w:leader="none" w:pos="600" w:val="left"/>
        </w:tabs>
        <w:rPr>
          <w:sz w:val="20"/>
          <w:szCs w:val="20"/>
          <w:color w:val="auto"/>
        </w:rPr>
      </w:pPr>
      <w:r>
        <w:rPr>
          <w:rFonts w:ascii="Times New Roman" w:cs="Times New Roman" w:eastAsia="Times New Roman" w:hAnsi="Times New Roman"/>
          <w:sz w:val="20"/>
          <w:szCs w:val="20"/>
          <w:color w:val="auto"/>
        </w:rPr>
        <w:t>2.</w:t>
        <w:tab/>
        <w:t>CHECK THE APPROPRIATE BOX IF A MEMBER OF A GROUP (see instructions)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 ]</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 [ ]</w:t>
      </w:r>
    </w:p>
    <w:p>
      <w:pPr>
        <w:spacing w:after="0" w:line="245" w:lineRule="exact"/>
        <w:rPr>
          <w:sz w:val="20"/>
          <w:szCs w:val="20"/>
          <w:color w:val="auto"/>
        </w:rPr>
      </w:pPr>
    </w:p>
    <w:p>
      <w:pPr>
        <w:sectPr>
          <w:pgSz w:w="11900" w:h="16838" w:orient="portrait"/>
          <w:cols w:equalWidth="0" w:num="2">
            <w:col w:w="9440" w:space="720"/>
            <w:col w:w="1080"/>
          </w:cols>
          <w:pgMar w:left="320" w:top="471" w:right="339" w:bottom="1440" w:gutter="0" w:footer="0" w:header="0"/>
          <w:type w:val="continuous"/>
        </w:sectPr>
      </w:pPr>
    </w:p>
    <w:p>
      <w:pPr>
        <w:spacing w:after="0" w:line="94" w:lineRule="exact"/>
        <w:rPr>
          <w:sz w:val="20"/>
          <w:szCs w:val="20"/>
          <w:color w:val="auto"/>
        </w:rPr>
      </w:pPr>
    </w:p>
    <w:p>
      <w:pPr>
        <w:ind w:left="620" w:hanging="396"/>
        <w:spacing w:after="0"/>
        <w:tabs>
          <w:tab w:leader="none" w:pos="6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350" w:lineRule="exact"/>
        <w:rPr>
          <w:rFonts w:ascii="Times New Roman" w:cs="Times New Roman" w:eastAsia="Times New Roman" w:hAnsi="Times New Roman"/>
          <w:sz w:val="20"/>
          <w:szCs w:val="20"/>
          <w:color w:val="auto"/>
        </w:rPr>
      </w:pPr>
    </w:p>
    <w:p>
      <w:pPr>
        <w:ind w:left="620" w:right="6580" w:hanging="396"/>
        <w:spacing w:after="0" w:line="295" w:lineRule="auto"/>
        <w:tabs>
          <w:tab w:leader="none" w:pos="6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CITIZENSHIP OR PLACE OF ORGANIZATION A California Limited Liability Company</w:t>
      </w:r>
    </w:p>
    <w:p>
      <w:pPr>
        <w:spacing w:after="0" w:line="43" w:lineRule="exact"/>
        <w:rPr>
          <w:rFonts w:ascii="Times New Roman" w:cs="Times New Roman" w:eastAsia="Times New Roman" w:hAnsi="Times New Roman"/>
          <w:sz w:val="19"/>
          <w:szCs w:val="19"/>
          <w:color w:val="auto"/>
        </w:rPr>
      </w:pPr>
    </w:p>
    <w:p>
      <w:pPr>
        <w:ind w:left="2880" w:hanging="415"/>
        <w:spacing w:after="0"/>
        <w:tabs>
          <w:tab w:leader="none" w:pos="28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w:t>
      </w:r>
    </w:p>
    <w:p>
      <w:pPr>
        <w:spacing w:after="0" w:line="229" w:lineRule="exact"/>
        <w:rPr>
          <w:sz w:val="20"/>
          <w:szCs w:val="20"/>
          <w:color w:val="auto"/>
        </w:rPr>
      </w:pPr>
    </w:p>
    <w:tbl>
      <w:tblPr>
        <w:tblLayout w:type="fixed"/>
        <w:tblInd w:w="440" w:type="dxa"/>
        <w:tblCellMar>
          <w:top w:w="0" w:type="dxa"/>
          <w:left w:w="0" w:type="dxa"/>
          <w:bottom w:w="0" w:type="dxa"/>
          <w:right w:w="0" w:type="dxa"/>
        </w:tblCellMar>
      </w:tblPr>
      <w:tr>
        <w:trPr>
          <w:trHeight w:val="258"/>
        </w:trPr>
        <w:tc>
          <w:tcPr>
            <w:tcW w:w="1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5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48"/>
        </w:trPr>
        <w:tc>
          <w:tcPr>
            <w:tcW w:w="1820" w:type="dxa"/>
            <w:vAlign w:val="bottom"/>
            <w:vMerge w:val="restart"/>
          </w:tcPr>
          <w:p>
            <w:pPr>
              <w:jc w:val="center"/>
              <w:ind w:right="321"/>
              <w:spacing w:after="0"/>
              <w:rPr>
                <w:sz w:val="20"/>
                <w:szCs w:val="20"/>
                <w:color w:val="auto"/>
              </w:rPr>
            </w:pPr>
            <w:r>
              <w:rPr>
                <w:rFonts w:ascii="Times New Roman" w:cs="Times New Roman" w:eastAsia="Times New Roman" w:hAnsi="Times New Roman"/>
                <w:sz w:val="20"/>
                <w:szCs w:val="20"/>
                <w:color w:val="auto"/>
                <w:w w:val="99"/>
              </w:rPr>
              <w:t>NUMBER OF</w:t>
            </w:r>
          </w:p>
        </w:tc>
        <w:tc>
          <w:tcPr>
            <w:tcW w:w="480" w:type="dxa"/>
            <w:vAlign w:val="bottom"/>
            <w:tcBorders>
              <w:bottom w:val="single" w:sz="8" w:color="auto"/>
            </w:tcBorders>
          </w:tcPr>
          <w:p>
            <w:pPr>
              <w:spacing w:after="0"/>
              <w:rPr>
                <w:sz w:val="4"/>
                <w:szCs w:val="4"/>
                <w:color w:val="auto"/>
              </w:rPr>
            </w:pPr>
          </w:p>
        </w:tc>
        <w:tc>
          <w:tcPr>
            <w:tcW w:w="8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820" w:type="dxa"/>
            <w:vAlign w:val="bottom"/>
            <w:vMerge w:val="continue"/>
          </w:tcPr>
          <w:p>
            <w:pPr>
              <w:spacing w:after="0"/>
              <w:rPr>
                <w:sz w:val="19"/>
                <w:szCs w:val="19"/>
                <w:color w:val="auto"/>
              </w:rPr>
            </w:pPr>
          </w:p>
        </w:tc>
        <w:tc>
          <w:tcPr>
            <w:tcW w:w="480" w:type="dxa"/>
            <w:vAlign w:val="bottom"/>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6.</w:t>
            </w:r>
          </w:p>
        </w:tc>
        <w:tc>
          <w:tcPr>
            <w:tcW w:w="8500" w:type="dxa"/>
            <w:vAlign w:val="bottom"/>
          </w:tcPr>
          <w:p>
            <w:pPr>
              <w:ind w:left="140"/>
              <w:spacing w:after="0" w:line="223" w:lineRule="exact"/>
              <w:rPr>
                <w:sz w:val="20"/>
                <w:szCs w:val="20"/>
                <w:color w:val="auto"/>
              </w:rPr>
            </w:pPr>
            <w:r>
              <w:rPr>
                <w:rFonts w:ascii="Times New Roman" w:cs="Times New Roman" w:eastAsia="Times New Roman" w:hAnsi="Times New Roman"/>
                <w:sz w:val="20"/>
                <w:szCs w:val="20"/>
                <w:color w:val="auto"/>
              </w:rPr>
              <w:t>SHARED VOTING POWER</w:t>
            </w:r>
          </w:p>
        </w:tc>
        <w:tc>
          <w:tcPr>
            <w:tcW w:w="0" w:type="dxa"/>
            <w:vAlign w:val="bottom"/>
          </w:tcPr>
          <w:p>
            <w:pPr>
              <w:spacing w:after="0"/>
              <w:rPr>
                <w:sz w:val="1"/>
                <w:szCs w:val="1"/>
                <w:color w:val="auto"/>
              </w:rPr>
            </w:pPr>
          </w:p>
        </w:tc>
      </w:tr>
      <w:tr>
        <w:trPr>
          <w:trHeight w:val="207"/>
        </w:trPr>
        <w:tc>
          <w:tcPr>
            <w:tcW w:w="1820" w:type="dxa"/>
            <w:vAlign w:val="bottom"/>
          </w:tcPr>
          <w:p>
            <w:pPr>
              <w:jc w:val="center"/>
              <w:ind w:right="321"/>
              <w:spacing w:after="0" w:line="207" w:lineRule="exact"/>
              <w:rPr>
                <w:sz w:val="20"/>
                <w:szCs w:val="20"/>
                <w:color w:val="auto"/>
              </w:rPr>
            </w:pPr>
            <w:r>
              <w:rPr>
                <w:rFonts w:ascii="Times New Roman" w:cs="Times New Roman" w:eastAsia="Times New Roman" w:hAnsi="Times New Roman"/>
                <w:sz w:val="20"/>
                <w:szCs w:val="20"/>
                <w:color w:val="auto"/>
                <w:w w:val="99"/>
              </w:rPr>
              <w:t>SHARES</w:t>
            </w:r>
          </w:p>
        </w:tc>
        <w:tc>
          <w:tcPr>
            <w:tcW w:w="480" w:type="dxa"/>
            <w:vAlign w:val="bottom"/>
          </w:tcPr>
          <w:p>
            <w:pPr>
              <w:spacing w:after="0"/>
              <w:rPr>
                <w:sz w:val="17"/>
                <w:szCs w:val="17"/>
                <w:color w:val="auto"/>
              </w:rPr>
            </w:pPr>
          </w:p>
        </w:tc>
        <w:tc>
          <w:tcPr>
            <w:tcW w:w="8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82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7"/>
              </w:rPr>
              <w:t>BENEFICIALLY</w:t>
            </w:r>
          </w:p>
        </w:tc>
        <w:tc>
          <w:tcPr>
            <w:tcW w:w="480" w:type="dxa"/>
            <w:vAlign w:val="bottom"/>
          </w:tcPr>
          <w:p>
            <w:pPr>
              <w:spacing w:after="0"/>
              <w:rPr>
                <w:sz w:val="21"/>
                <w:szCs w:val="21"/>
                <w:color w:val="auto"/>
              </w:rPr>
            </w:pPr>
          </w:p>
        </w:tc>
        <w:tc>
          <w:tcPr>
            <w:tcW w:w="85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109"/>
        </w:trPr>
        <w:tc>
          <w:tcPr>
            <w:tcW w:w="1820" w:type="dxa"/>
            <w:vAlign w:val="bottom"/>
            <w:vMerge w:val="restart"/>
          </w:tcPr>
          <w:p>
            <w:pPr>
              <w:jc w:val="center"/>
              <w:ind w:right="301"/>
              <w:spacing w:after="0" w:line="207" w:lineRule="exact"/>
              <w:rPr>
                <w:sz w:val="20"/>
                <w:szCs w:val="20"/>
                <w:color w:val="auto"/>
              </w:rPr>
            </w:pPr>
            <w:r>
              <w:rPr>
                <w:rFonts w:ascii="Times New Roman" w:cs="Times New Roman" w:eastAsia="Times New Roman" w:hAnsi="Times New Roman"/>
                <w:sz w:val="20"/>
                <w:szCs w:val="20"/>
                <w:color w:val="auto"/>
                <w:w w:val="98"/>
              </w:rPr>
              <w:t>OWNED BY</w:t>
            </w:r>
          </w:p>
        </w:tc>
        <w:tc>
          <w:tcPr>
            <w:tcW w:w="480" w:type="dxa"/>
            <w:vAlign w:val="bottom"/>
            <w:tcBorders>
              <w:bottom w:val="single" w:sz="8" w:color="auto"/>
            </w:tcBorders>
          </w:tcPr>
          <w:p>
            <w:pPr>
              <w:spacing w:after="0"/>
              <w:rPr>
                <w:sz w:val="9"/>
                <w:szCs w:val="9"/>
                <w:color w:val="auto"/>
              </w:rPr>
            </w:pPr>
          </w:p>
        </w:tc>
        <w:tc>
          <w:tcPr>
            <w:tcW w:w="8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820" w:type="dxa"/>
            <w:vAlign w:val="bottom"/>
            <w:vMerge w:val="continue"/>
          </w:tcPr>
          <w:p>
            <w:pPr>
              <w:spacing w:after="0"/>
              <w:rPr>
                <w:sz w:val="6"/>
                <w:szCs w:val="6"/>
                <w:color w:val="auto"/>
              </w:rPr>
            </w:pPr>
          </w:p>
        </w:tc>
        <w:tc>
          <w:tcPr>
            <w:tcW w:w="480" w:type="dxa"/>
            <w:vAlign w:val="bottom"/>
            <w:vMerge w:val="restart"/>
          </w:tcPr>
          <w:p>
            <w:pPr>
              <w:jc w:val="right"/>
              <w:ind w:right="21"/>
              <w:spacing w:after="0"/>
              <w:rPr>
                <w:sz w:val="20"/>
                <w:szCs w:val="20"/>
                <w:color w:val="auto"/>
              </w:rPr>
            </w:pPr>
            <w:r>
              <w:rPr>
                <w:rFonts w:ascii="Times New Roman" w:cs="Times New Roman" w:eastAsia="Times New Roman" w:hAnsi="Times New Roman"/>
                <w:sz w:val="20"/>
                <w:szCs w:val="20"/>
                <w:color w:val="auto"/>
              </w:rPr>
              <w:t>7.</w:t>
            </w:r>
          </w:p>
        </w:tc>
        <w:tc>
          <w:tcPr>
            <w:tcW w:w="850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SOLE DISPOSITIVE POWER</w:t>
            </w:r>
          </w:p>
        </w:tc>
        <w:tc>
          <w:tcPr>
            <w:tcW w:w="0" w:type="dxa"/>
            <w:vAlign w:val="bottom"/>
          </w:tcPr>
          <w:p>
            <w:pPr>
              <w:spacing w:after="0"/>
              <w:rPr>
                <w:sz w:val="1"/>
                <w:szCs w:val="1"/>
                <w:color w:val="auto"/>
              </w:rPr>
            </w:pPr>
          </w:p>
        </w:tc>
      </w:tr>
      <w:tr>
        <w:trPr>
          <w:trHeight w:val="230"/>
        </w:trPr>
        <w:tc>
          <w:tcPr>
            <w:tcW w:w="1820" w:type="dxa"/>
            <w:vAlign w:val="bottom"/>
          </w:tcPr>
          <w:p>
            <w:pPr>
              <w:jc w:val="center"/>
              <w:ind w:right="301"/>
              <w:spacing w:after="0"/>
              <w:rPr>
                <w:sz w:val="20"/>
                <w:szCs w:val="20"/>
                <w:color w:val="auto"/>
              </w:rPr>
            </w:pPr>
            <w:r>
              <w:rPr>
                <w:rFonts w:ascii="Times New Roman" w:cs="Times New Roman" w:eastAsia="Times New Roman" w:hAnsi="Times New Roman"/>
                <w:sz w:val="20"/>
                <w:szCs w:val="20"/>
                <w:color w:val="auto"/>
                <w:w w:val="99"/>
              </w:rPr>
              <w:t>EACH</w:t>
            </w:r>
          </w:p>
        </w:tc>
        <w:tc>
          <w:tcPr>
            <w:tcW w:w="480" w:type="dxa"/>
            <w:vAlign w:val="bottom"/>
            <w:vMerge w:val="continue"/>
          </w:tcPr>
          <w:p>
            <w:pPr>
              <w:spacing w:after="0"/>
              <w:rPr>
                <w:sz w:val="19"/>
                <w:szCs w:val="19"/>
                <w:color w:val="auto"/>
              </w:rPr>
            </w:pPr>
          </w:p>
        </w:tc>
        <w:tc>
          <w:tcPr>
            <w:tcW w:w="8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20" w:type="dxa"/>
            <w:vAlign w:val="bottom"/>
          </w:tcPr>
          <w:p>
            <w:pPr>
              <w:jc w:val="center"/>
              <w:ind w:right="301"/>
              <w:spacing w:after="0"/>
              <w:rPr>
                <w:sz w:val="20"/>
                <w:szCs w:val="20"/>
                <w:color w:val="auto"/>
              </w:rPr>
            </w:pPr>
            <w:r>
              <w:rPr>
                <w:rFonts w:ascii="Times New Roman" w:cs="Times New Roman" w:eastAsia="Times New Roman" w:hAnsi="Times New Roman"/>
                <w:sz w:val="20"/>
                <w:szCs w:val="20"/>
                <w:color w:val="auto"/>
                <w:w w:val="97"/>
              </w:rPr>
              <w:t>REPORTING</w:t>
            </w:r>
          </w:p>
        </w:tc>
        <w:tc>
          <w:tcPr>
            <w:tcW w:w="480" w:type="dxa"/>
            <w:vAlign w:val="bottom"/>
          </w:tcPr>
          <w:p>
            <w:pPr>
              <w:spacing w:after="0"/>
              <w:rPr>
                <w:sz w:val="19"/>
                <w:szCs w:val="19"/>
                <w:color w:val="auto"/>
              </w:rPr>
            </w:pPr>
          </w:p>
        </w:tc>
        <w:tc>
          <w:tcPr>
            <w:tcW w:w="850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58"/>
        </w:trPr>
        <w:tc>
          <w:tcPr>
            <w:tcW w:w="1820" w:type="dxa"/>
            <w:vAlign w:val="bottom"/>
          </w:tcPr>
          <w:p>
            <w:pPr>
              <w:jc w:val="center"/>
              <w:ind w:right="321"/>
              <w:spacing w:after="0"/>
              <w:rPr>
                <w:sz w:val="20"/>
                <w:szCs w:val="20"/>
                <w:color w:val="auto"/>
              </w:rPr>
            </w:pPr>
            <w:r>
              <w:rPr>
                <w:rFonts w:ascii="Times New Roman" w:cs="Times New Roman" w:eastAsia="Times New Roman" w:hAnsi="Times New Roman"/>
                <w:sz w:val="20"/>
                <w:szCs w:val="20"/>
                <w:color w:val="auto"/>
                <w:w w:val="98"/>
              </w:rPr>
              <w:t>PERSON WITH</w:t>
            </w:r>
          </w:p>
        </w:tc>
        <w:tc>
          <w:tcPr>
            <w:tcW w:w="480" w:type="dxa"/>
            <w:vAlign w:val="bottom"/>
          </w:tcPr>
          <w:p>
            <w:pPr>
              <w:spacing w:after="0"/>
              <w:rPr>
                <w:sz w:val="22"/>
                <w:szCs w:val="22"/>
                <w:color w:val="auto"/>
              </w:rPr>
            </w:pPr>
          </w:p>
        </w:tc>
        <w:tc>
          <w:tcPr>
            <w:tcW w:w="85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880" w:right="5580" w:hanging="415"/>
        <w:spacing w:after="0" w:line="422" w:lineRule="auto"/>
        <w:tabs>
          <w:tab w:leader="none" w:pos="288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 0</w:t>
      </w:r>
    </w:p>
    <w:p>
      <w:pPr>
        <w:spacing w:after="0" w:line="1" w:lineRule="exact"/>
        <w:rPr>
          <w:rFonts w:ascii="Times New Roman" w:cs="Times New Roman" w:eastAsia="Times New Roman" w:hAnsi="Times New Roman"/>
          <w:sz w:val="20"/>
          <w:szCs w:val="20"/>
          <w:color w:val="auto"/>
        </w:rPr>
      </w:pPr>
    </w:p>
    <w:p>
      <w:pPr>
        <w:ind w:left="620" w:right="3400" w:hanging="396"/>
        <w:spacing w:after="0" w:line="422" w:lineRule="auto"/>
        <w:tabs>
          <w:tab w:leader="none" w:pos="6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0</w:t>
      </w:r>
    </w:p>
    <w:p>
      <w:pPr>
        <w:spacing w:after="0" w:line="1" w:lineRule="exact"/>
        <w:rPr>
          <w:sz w:val="20"/>
          <w:szCs w:val="20"/>
          <w:color w:val="auto"/>
        </w:rPr>
      </w:pPr>
    </w:p>
    <w:p>
      <w:pPr>
        <w:ind w:left="620" w:right="3300" w:hanging="445"/>
        <w:spacing w:after="0" w:line="269" w:lineRule="auto"/>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IF THE AGGREGATE AMOUNT IN ROW (9) EXCLUDES CERTAIN SHARES (see instructions) [ ]</w:t>
      </w:r>
    </w:p>
    <w:p>
      <w:pPr>
        <w:spacing w:after="0" w:line="294" w:lineRule="exact"/>
        <w:rPr>
          <w:rFonts w:ascii="Times New Roman" w:cs="Times New Roman" w:eastAsia="Times New Roman" w:hAnsi="Times New Roman"/>
          <w:sz w:val="20"/>
          <w:szCs w:val="20"/>
          <w:color w:val="auto"/>
        </w:rPr>
      </w:pPr>
    </w:p>
    <w:p>
      <w:pPr>
        <w:ind w:left="620" w:right="5040" w:hanging="442"/>
        <w:spacing w:after="0" w:line="422" w:lineRule="auto"/>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(9) 0.00%</w:t>
      </w:r>
    </w:p>
    <w:p>
      <w:pPr>
        <w:spacing w:after="0" w:line="1" w:lineRule="exact"/>
        <w:rPr>
          <w:rFonts w:ascii="Times New Roman" w:cs="Times New Roman" w:eastAsia="Times New Roman" w:hAnsi="Times New Roman"/>
          <w:sz w:val="20"/>
          <w:szCs w:val="20"/>
          <w:color w:val="auto"/>
        </w:rPr>
      </w:pPr>
    </w:p>
    <w:p>
      <w:pPr>
        <w:ind w:left="620" w:hanging="445"/>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w:t>
      </w:r>
    </w:p>
    <w:p>
      <w:pPr>
        <w:spacing w:after="0" w:line="229" w:lineRule="exact"/>
        <w:rPr>
          <w:rFonts w:ascii="Times New Roman" w:cs="Times New Roman" w:eastAsia="Times New Roman" w:hAnsi="Times New Roman"/>
          <w:sz w:val="20"/>
          <w:szCs w:val="20"/>
          <w:color w:val="auto"/>
        </w:rPr>
      </w:pPr>
    </w:p>
    <w:p>
      <w:pPr>
        <w:ind w:left="6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IA</w:t>
      </w:r>
    </w:p>
    <w:p>
      <w:pPr>
        <w:sectPr>
          <w:pgSz w:w="11900" w:h="16838" w:orient="portrait"/>
          <w:cols w:equalWidth="0" w:num="1">
            <w:col w:w="11240"/>
          </w:cols>
          <w:pgMar w:left="320" w:top="471" w:right="339" w:bottom="1440" w:gutter="0" w:footer="0" w:header="0"/>
          <w:type w:val="continuous"/>
        </w:sectPr>
      </w:pPr>
    </w:p>
    <w:bookmarkStart w:id="2" w:name="page3"/>
    <w:bookmarkEnd w:id="2"/>
    <w:tbl>
      <w:tblPr>
        <w:tblLayout w:type="fixed"/>
        <w:tblInd w:w="10" w:type="dxa"/>
        <w:tblCellMar>
          <w:top w:w="0" w:type="dxa"/>
          <w:left w:w="0" w:type="dxa"/>
          <w:bottom w:w="0" w:type="dxa"/>
          <w:right w:w="0" w:type="dxa"/>
        </w:tblCellMar>
      </w:tblPr>
      <w:tr>
        <w:trPr>
          <w:trHeight w:val="303"/>
        </w:trPr>
        <w:tc>
          <w:tcPr>
            <w:tcW w:w="34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CUSIP No. 379577208</w:t>
            </w:r>
          </w:p>
        </w:tc>
        <w:tc>
          <w:tcPr>
            <w:tcW w:w="4480" w:type="dxa"/>
            <w:vAlign w:val="bottom"/>
            <w:tcBorders>
              <w:right w:val="single" w:sz="8" w:color="auto"/>
            </w:tcBorders>
          </w:tcPr>
          <w:p>
            <w:pPr>
              <w:ind w:left="2060"/>
              <w:spacing w:after="0"/>
              <w:rPr>
                <w:sz w:val="20"/>
                <w:szCs w:val="20"/>
                <w:color w:val="auto"/>
              </w:rPr>
            </w:pPr>
            <w:r>
              <w:rPr>
                <w:rFonts w:ascii="Times New Roman" w:cs="Times New Roman" w:eastAsia="Times New Roman" w:hAnsi="Times New Roman"/>
                <w:sz w:val="20"/>
                <w:szCs w:val="20"/>
                <w:color w:val="auto"/>
              </w:rPr>
              <w:t>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20"/>
                <w:szCs w:val="20"/>
                <w:color w:val="auto"/>
              </w:rPr>
              <w:t>Page 3 of 5 Pages</w:t>
            </w:r>
          </w:p>
        </w:tc>
      </w:tr>
      <w:tr>
        <w:trPr>
          <w:trHeight w:val="48"/>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bl>
    <w:p>
      <w:pPr>
        <w:spacing w:after="0" w:line="20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20"/>
          <w:szCs w:val="20"/>
          <w:color w:val="auto"/>
        </w:rPr>
        <w:t>(a)  Name of Issuer</w:t>
      </w:r>
    </w:p>
    <w:p>
      <w:pPr>
        <w:spacing w:after="0" w:line="2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Globus Medical, Inc.</w:t>
      </w:r>
    </w:p>
    <w:p>
      <w:pPr>
        <w:spacing w:after="0" w:line="207" w:lineRule="exact"/>
        <w:rPr>
          <w:sz w:val="20"/>
          <w:szCs w:val="20"/>
          <w:color w:val="auto"/>
        </w:rPr>
      </w:pPr>
    </w:p>
    <w:p>
      <w:pPr>
        <w:ind w:left="1440" w:hanging="352"/>
        <w:spacing w:after="0"/>
        <w:tabs>
          <w:tab w:leader="none" w:pos="14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21" w:lineRule="exact"/>
        <w:rPr>
          <w:rFonts w:ascii="Times New Roman" w:cs="Times New Roman" w:eastAsia="Times New Roman" w:hAnsi="Times New Roman"/>
          <w:sz w:val="20"/>
          <w:szCs w:val="20"/>
          <w:color w:val="auto"/>
        </w:rPr>
      </w:pPr>
    </w:p>
    <w:p>
      <w:pPr>
        <w:ind w:left="14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2560 General Armistead Avenue, Audubon, PA 19403</w:t>
      </w:r>
    </w:p>
    <w:p>
      <w:pPr>
        <w:spacing w:after="0" w:line="20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20"/>
          <w:szCs w:val="20"/>
          <w:color w:val="auto"/>
        </w:rPr>
        <w:t>(a)  Name of Person Filing</w:t>
      </w:r>
    </w:p>
    <w:p>
      <w:pPr>
        <w:spacing w:after="0" w:line="2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Kayne Anderson Rudnick Investment Management, LLC</w:t>
      </w:r>
    </w:p>
    <w:p>
      <w:pPr>
        <w:spacing w:after="0" w:line="207" w:lineRule="exact"/>
        <w:rPr>
          <w:sz w:val="20"/>
          <w:szCs w:val="20"/>
          <w:color w:val="auto"/>
        </w:rPr>
      </w:pPr>
    </w:p>
    <w:p>
      <w:pPr>
        <w:ind w:left="1440" w:hanging="352"/>
        <w:spacing w:after="0"/>
        <w:tabs>
          <w:tab w:leader="none" w:pos="14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the Principal Office or, if none, residence</w:t>
      </w:r>
    </w:p>
    <w:p>
      <w:pPr>
        <w:spacing w:after="0" w:line="21" w:lineRule="exact"/>
        <w:rPr>
          <w:rFonts w:ascii="Times New Roman" w:cs="Times New Roman" w:eastAsia="Times New Roman" w:hAnsi="Times New Roman"/>
          <w:sz w:val="20"/>
          <w:szCs w:val="20"/>
          <w:color w:val="auto"/>
        </w:rPr>
      </w:pPr>
    </w:p>
    <w:p>
      <w:pPr>
        <w:ind w:left="14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2000 Avenue of the Stars, Suite 1110, Los Angeles, CA 90067</w:t>
      </w:r>
    </w:p>
    <w:p>
      <w:pPr>
        <w:spacing w:after="0" w:line="207" w:lineRule="exact"/>
        <w:rPr>
          <w:rFonts w:ascii="Times New Roman" w:cs="Times New Roman" w:eastAsia="Times New Roman" w:hAnsi="Times New Roman"/>
          <w:sz w:val="20"/>
          <w:szCs w:val="20"/>
          <w:color w:val="auto"/>
        </w:rPr>
      </w:pPr>
    </w:p>
    <w:p>
      <w:pPr>
        <w:ind w:left="1440" w:hanging="352"/>
        <w:spacing w:after="0"/>
        <w:tabs>
          <w:tab w:leader="none" w:pos="14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w:t>
      </w:r>
    </w:p>
    <w:p>
      <w:pPr>
        <w:spacing w:after="0" w:line="21" w:lineRule="exact"/>
        <w:rPr>
          <w:rFonts w:ascii="Times New Roman" w:cs="Times New Roman" w:eastAsia="Times New Roman" w:hAnsi="Times New Roman"/>
          <w:sz w:val="20"/>
          <w:szCs w:val="20"/>
          <w:color w:val="auto"/>
        </w:rPr>
      </w:pPr>
    </w:p>
    <w:p>
      <w:pPr>
        <w:ind w:left="14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California Limited Liability Company</w:t>
      </w:r>
    </w:p>
    <w:p>
      <w:pPr>
        <w:spacing w:after="0" w:line="207" w:lineRule="exact"/>
        <w:rPr>
          <w:rFonts w:ascii="Times New Roman" w:cs="Times New Roman" w:eastAsia="Times New Roman" w:hAnsi="Times New Roman"/>
          <w:sz w:val="20"/>
          <w:szCs w:val="20"/>
          <w:color w:val="auto"/>
        </w:rPr>
      </w:pPr>
    </w:p>
    <w:p>
      <w:pPr>
        <w:ind w:left="1440" w:right="7700" w:hanging="352"/>
        <w:spacing w:after="0" w:line="295" w:lineRule="auto"/>
        <w:tabs>
          <w:tab w:leader="none" w:pos="144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Title of Class of Securities Class A Common Stock</w:t>
      </w:r>
    </w:p>
    <w:p>
      <w:pPr>
        <w:spacing w:after="0" w:line="151" w:lineRule="exact"/>
        <w:rPr>
          <w:rFonts w:ascii="Times New Roman" w:cs="Times New Roman" w:eastAsia="Times New Roman" w:hAnsi="Times New Roman"/>
          <w:sz w:val="19"/>
          <w:szCs w:val="19"/>
          <w:color w:val="auto"/>
        </w:rPr>
      </w:pPr>
    </w:p>
    <w:p>
      <w:pPr>
        <w:ind w:left="1440" w:right="8540" w:hanging="352"/>
        <w:spacing w:after="0" w:line="295" w:lineRule="auto"/>
        <w:tabs>
          <w:tab w:leader="none" w:pos="144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CUSIP Number 379577208</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If this statement is filed pursuant to §§240.13d-1(b) or 240.13d-2(b) or (c), check whether the person filing is a:</w:t>
      </w:r>
    </w:p>
    <w:p>
      <w:pPr>
        <w:spacing w:after="0" w:line="233" w:lineRule="exact"/>
        <w:rPr>
          <w:sz w:val="20"/>
          <w:szCs w:val="20"/>
          <w:color w:val="auto"/>
        </w:rPr>
      </w:pPr>
    </w:p>
    <w:p>
      <w:pPr>
        <w:ind w:left="1080" w:hanging="357"/>
        <w:spacing w:after="0"/>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Broker or dealer registered under section 15 of the Act (15 U.S.C. 78o).</w:t>
      </w:r>
    </w:p>
    <w:p>
      <w:pPr>
        <w:spacing w:after="0" w:line="229"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Bank as defined in section 3(a)(6) of the Act (15 U.S.C. 78c).</w:t>
      </w:r>
    </w:p>
    <w:p>
      <w:pPr>
        <w:spacing w:after="0" w:line="229"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Insurance company as defined in section 3(a)(19) of the Act (15 U.S.C. 78c).</w:t>
      </w:r>
    </w:p>
    <w:p>
      <w:pPr>
        <w:spacing w:after="0" w:line="229"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Investment company registered under section 8 of the Investment Company Act of 1940 (15 U.S.C. 80a-8).</w:t>
      </w:r>
    </w:p>
    <w:p>
      <w:pPr>
        <w:spacing w:after="0" w:line="229"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An investment adviser in accordance with §240.13d-1(b)(1)(ii)(E);</w:t>
      </w:r>
    </w:p>
    <w:p>
      <w:pPr>
        <w:spacing w:after="0" w:line="229"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An employee benefit plan or endowment fund in accordance with §240.13d-1(b)(1)(ii)(F);</w:t>
      </w:r>
    </w:p>
    <w:p>
      <w:pPr>
        <w:spacing w:after="0" w:line="229"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parent holding company or control person in accordance with §240.13d-1(b)(1)(ii)(G);</w:t>
      </w:r>
    </w:p>
    <w:p>
      <w:pPr>
        <w:spacing w:after="0" w:line="229"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savings associations as defined in Section 3(b) of the Federal Deposit Insurance Act (12 U.S.C. 1813);</w:t>
      </w:r>
    </w:p>
    <w:p>
      <w:pPr>
        <w:spacing w:after="0" w:line="229" w:lineRule="exact"/>
        <w:rPr>
          <w:rFonts w:ascii="Times New Roman" w:cs="Times New Roman" w:eastAsia="Times New Roman" w:hAnsi="Times New Roman"/>
          <w:sz w:val="20"/>
          <w:szCs w:val="20"/>
          <w:color w:val="auto"/>
        </w:rPr>
      </w:pPr>
    </w:p>
    <w:p>
      <w:pPr>
        <w:ind w:left="1420" w:hanging="697"/>
        <w:spacing w:after="0" w:line="269" w:lineRule="auto"/>
        <w:tabs>
          <w:tab w:leader="none" w:pos="1069"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church plan that is excluded from the definition of an investment company under section 3(c)(14) of the Investment Company Act of 1940 (15 U.S.C. 80a-3);</w:t>
      </w:r>
    </w:p>
    <w:p>
      <w:pPr>
        <w:spacing w:after="0" w:line="172" w:lineRule="exact"/>
        <w:rPr>
          <w:rFonts w:ascii="Times New Roman" w:cs="Times New Roman" w:eastAsia="Times New Roman" w:hAnsi="Times New Roman"/>
          <w:sz w:val="20"/>
          <w:szCs w:val="20"/>
          <w:color w:val="auto"/>
        </w:rPr>
      </w:pPr>
    </w:p>
    <w:p>
      <w:pPr>
        <w:ind w:left="1080" w:hanging="357"/>
        <w:spacing w:after="0"/>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Group, in accordance with §240.13d-1(b)(1)(ii)(J).</w:t>
      </w:r>
    </w:p>
    <w:p>
      <w:pPr>
        <w:sectPr>
          <w:pgSz w:w="11900" w:h="16838" w:orient="portrait"/>
          <w:cols w:equalWidth="0" w:num="1">
            <w:col w:w="11240"/>
          </w:cols>
          <w:pgMar w:left="320" w:top="470"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03"/>
        </w:trPr>
        <w:tc>
          <w:tcPr>
            <w:tcW w:w="34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CUSIP No. 379577208</w:t>
            </w:r>
          </w:p>
        </w:tc>
        <w:tc>
          <w:tcPr>
            <w:tcW w:w="4480" w:type="dxa"/>
            <w:vAlign w:val="bottom"/>
            <w:tcBorders>
              <w:right w:val="single" w:sz="8" w:color="auto"/>
            </w:tcBorders>
          </w:tcPr>
          <w:p>
            <w:pPr>
              <w:ind w:left="2060"/>
              <w:spacing w:after="0"/>
              <w:rPr>
                <w:sz w:val="20"/>
                <w:szCs w:val="20"/>
                <w:color w:val="auto"/>
              </w:rPr>
            </w:pPr>
            <w:r>
              <w:rPr>
                <w:rFonts w:ascii="Times New Roman" w:cs="Times New Roman" w:eastAsia="Times New Roman" w:hAnsi="Times New Roman"/>
                <w:sz w:val="20"/>
                <w:szCs w:val="20"/>
                <w:color w:val="auto"/>
              </w:rPr>
              <w:t>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20"/>
                <w:szCs w:val="20"/>
                <w:color w:val="auto"/>
              </w:rPr>
              <w:t>Page 4 of 5 Pages</w:t>
            </w:r>
          </w:p>
        </w:tc>
      </w:tr>
      <w:tr>
        <w:trPr>
          <w:trHeight w:val="48"/>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Ownership.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40" w:type="dxa"/>
            <w:vAlign w:val="bottom"/>
            <w:shd w:val="clear" w:color="auto" w:fill="DCDCDC"/>
          </w:tcPr>
          <w:p>
            <w:pPr>
              <w:ind w:left="40"/>
              <w:spacing w:after="0"/>
              <w:rPr>
                <w:sz w:val="20"/>
                <w:szCs w:val="20"/>
                <w:color w:val="auto"/>
              </w:rPr>
            </w:pPr>
            <w:r>
              <w:rPr>
                <w:rFonts w:ascii="Times New Roman" w:cs="Times New Roman" w:eastAsia="Times New Roman" w:hAnsi="Times New Roman"/>
                <w:sz w:val="20"/>
                <w:szCs w:val="20"/>
                <w:color w:val="auto"/>
              </w:rPr>
              <w:t>(a)</w:t>
            </w:r>
          </w:p>
        </w:tc>
        <w:tc>
          <w:tcPr>
            <w:tcW w:w="5780" w:type="dxa"/>
            <w:vAlign w:val="bottom"/>
            <w:shd w:val="clear" w:color="auto" w:fill="DCDCDC"/>
          </w:tcPr>
          <w:p>
            <w:pPr>
              <w:ind w:left="160"/>
              <w:spacing w:after="0"/>
              <w:rPr>
                <w:sz w:val="20"/>
                <w:szCs w:val="20"/>
                <w:color w:val="auto"/>
              </w:rPr>
            </w:pPr>
            <w:r>
              <w:rPr>
                <w:rFonts w:ascii="Times New Roman" w:cs="Times New Roman" w:eastAsia="Times New Roman" w:hAnsi="Times New Roman"/>
                <w:sz w:val="20"/>
                <w:szCs w:val="20"/>
                <w:color w:val="auto"/>
              </w:rPr>
              <w:t>Amount beneficially owned:</w:t>
            </w:r>
          </w:p>
        </w:tc>
        <w:tc>
          <w:tcPr>
            <w:tcW w:w="5020" w:type="dxa"/>
            <w:vAlign w:val="bottom"/>
            <w:shd w:val="clear" w:color="auto" w:fill="DCDCDC"/>
          </w:tcPr>
          <w:p>
            <w:pPr>
              <w:ind w:left="3380"/>
              <w:spacing w:after="0"/>
              <w:rPr>
                <w:sz w:val="20"/>
                <w:szCs w:val="20"/>
                <w:color w:val="auto"/>
              </w:rPr>
            </w:pPr>
            <w:r>
              <w:rPr>
                <w:rFonts w:ascii="Times New Roman" w:cs="Times New Roman" w:eastAsia="Times New Roman" w:hAnsi="Times New Roman"/>
                <w:sz w:val="20"/>
                <w:szCs w:val="20"/>
                <w:color w:val="auto"/>
              </w:rPr>
              <w:t>0</w:t>
            </w:r>
          </w:p>
        </w:tc>
      </w:tr>
      <w:tr>
        <w:trPr>
          <w:trHeight w:val="263"/>
        </w:trPr>
        <w:tc>
          <w:tcPr>
            <w:tcW w:w="4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w:t>
            </w:r>
          </w:p>
        </w:tc>
        <w:tc>
          <w:tcPr>
            <w:tcW w:w="5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Percent of class:</w:t>
            </w:r>
          </w:p>
        </w:tc>
        <w:tc>
          <w:tcPr>
            <w:tcW w:w="5020" w:type="dxa"/>
            <w:vAlign w:val="bottom"/>
          </w:tcPr>
          <w:p>
            <w:pPr>
              <w:ind w:left="3380"/>
              <w:spacing w:after="0"/>
              <w:rPr>
                <w:sz w:val="20"/>
                <w:szCs w:val="20"/>
                <w:color w:val="auto"/>
              </w:rPr>
            </w:pPr>
            <w:r>
              <w:rPr>
                <w:rFonts w:ascii="Times New Roman" w:cs="Times New Roman" w:eastAsia="Times New Roman" w:hAnsi="Times New Roman"/>
                <w:sz w:val="20"/>
                <w:szCs w:val="20"/>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9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 w:lineRule="exact"/>
        <w:rPr>
          <w:sz w:val="20"/>
          <w:szCs w:val="20"/>
          <w:color w:val="auto"/>
        </w:rPr>
      </w:pPr>
    </w:p>
    <w:p>
      <w:pPr>
        <w:ind w:left="600" w:hanging="565"/>
        <w:spacing w:after="0"/>
        <w:tabs>
          <w:tab w:leader="none" w:pos="6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as to which the person has: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0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w:t>
            </w:r>
          </w:p>
        </w:tc>
        <w:tc>
          <w:tcPr>
            <w:tcW w:w="6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Sole power to vote or to direct the vote:</w:t>
            </w:r>
          </w:p>
        </w:tc>
        <w:tc>
          <w:tcPr>
            <w:tcW w:w="3700" w:type="dxa"/>
            <w:vAlign w:val="bottom"/>
          </w:tcPr>
          <w:p>
            <w:pPr>
              <w:jc w:val="right"/>
              <w:ind w:right="1441"/>
              <w:spacing w:after="0"/>
              <w:rPr>
                <w:sz w:val="20"/>
                <w:szCs w:val="20"/>
                <w:color w:val="auto"/>
              </w:rPr>
            </w:pPr>
            <w:r>
              <w:rPr>
                <w:rFonts w:ascii="Times New Roman" w:cs="Times New Roman" w:eastAsia="Times New Roman" w:hAnsi="Times New Roman"/>
                <w:sz w:val="20"/>
                <w:szCs w:val="20"/>
                <w:color w:val="auto"/>
              </w:rPr>
              <w:t>0</w:t>
            </w:r>
          </w:p>
        </w:tc>
      </w:tr>
      <w:tr>
        <w:trPr>
          <w:trHeight w:val="21"/>
        </w:trPr>
        <w:tc>
          <w:tcPr>
            <w:tcW w:w="10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63"/>
        </w:trPr>
        <w:tc>
          <w:tcPr>
            <w:tcW w:w="1040" w:type="dxa"/>
            <w:vAlign w:val="bottom"/>
            <w:tcBorders>
              <w:bottom w:val="single" w:sz="8" w:color="DCDCDC"/>
            </w:tcBorders>
            <w:shd w:val="clear" w:color="auto" w:fill="DCDCDC"/>
          </w:tcPr>
          <w:p>
            <w:pPr>
              <w:ind w:left="600"/>
              <w:spacing w:after="0"/>
              <w:rPr>
                <w:sz w:val="20"/>
                <w:szCs w:val="20"/>
                <w:color w:val="auto"/>
              </w:rPr>
            </w:pPr>
            <w:r>
              <w:rPr>
                <w:rFonts w:ascii="Times New Roman" w:cs="Times New Roman" w:eastAsia="Times New Roman" w:hAnsi="Times New Roman"/>
                <w:sz w:val="20"/>
                <w:szCs w:val="20"/>
                <w:color w:val="auto"/>
              </w:rPr>
              <w:t>(ii)</w:t>
            </w:r>
          </w:p>
        </w:tc>
        <w:tc>
          <w:tcPr>
            <w:tcW w:w="6500" w:type="dxa"/>
            <w:vAlign w:val="bottom"/>
            <w:tcBorders>
              <w:bottom w:val="single" w:sz="8" w:color="DCDCDC"/>
            </w:tcBorders>
            <w:shd w:val="clear" w:color="auto" w:fill="DCDCDC"/>
          </w:tcPr>
          <w:p>
            <w:pPr>
              <w:ind w:left="120"/>
              <w:spacing w:after="0"/>
              <w:rPr>
                <w:sz w:val="20"/>
                <w:szCs w:val="20"/>
                <w:color w:val="auto"/>
              </w:rPr>
            </w:pPr>
            <w:r>
              <w:rPr>
                <w:rFonts w:ascii="Times New Roman" w:cs="Times New Roman" w:eastAsia="Times New Roman" w:hAnsi="Times New Roman"/>
                <w:sz w:val="20"/>
                <w:szCs w:val="20"/>
                <w:color w:val="auto"/>
              </w:rPr>
              <w:t>Shared power to vote or to direct the vote:</w:t>
            </w:r>
          </w:p>
        </w:tc>
        <w:tc>
          <w:tcPr>
            <w:tcW w:w="3700" w:type="dxa"/>
            <w:vAlign w:val="bottom"/>
            <w:tcBorders>
              <w:bottom w:val="single" w:sz="8" w:color="DCDCDC"/>
            </w:tcBorders>
            <w:shd w:val="clear" w:color="auto" w:fill="DCDCDC"/>
          </w:tcPr>
          <w:p>
            <w:pPr>
              <w:jc w:val="right"/>
              <w:ind w:right="1441"/>
              <w:spacing w:after="0"/>
              <w:rPr>
                <w:sz w:val="20"/>
                <w:szCs w:val="20"/>
                <w:color w:val="auto"/>
              </w:rPr>
            </w:pPr>
            <w:r>
              <w:rPr>
                <w:rFonts w:ascii="Times New Roman" w:cs="Times New Roman" w:eastAsia="Times New Roman" w:hAnsi="Times New Roman"/>
                <w:sz w:val="20"/>
                <w:szCs w:val="20"/>
                <w:color w:val="auto"/>
              </w:rPr>
              <w:t>0</w:t>
            </w:r>
          </w:p>
        </w:tc>
      </w:tr>
      <w:tr>
        <w:trPr>
          <w:trHeight w:val="263"/>
        </w:trPr>
        <w:tc>
          <w:tcPr>
            <w:tcW w:w="104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(iii)</w:t>
            </w:r>
          </w:p>
        </w:tc>
        <w:tc>
          <w:tcPr>
            <w:tcW w:w="6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Sole power to dispose or to direct the disposition of:</w:t>
            </w:r>
          </w:p>
        </w:tc>
        <w:tc>
          <w:tcPr>
            <w:tcW w:w="3700" w:type="dxa"/>
            <w:vAlign w:val="bottom"/>
          </w:tcPr>
          <w:p>
            <w:pPr>
              <w:jc w:val="right"/>
              <w:ind w:right="1441"/>
              <w:spacing w:after="0"/>
              <w:rPr>
                <w:sz w:val="20"/>
                <w:szCs w:val="20"/>
                <w:color w:val="auto"/>
              </w:rPr>
            </w:pPr>
            <w:r>
              <w:rPr>
                <w:rFonts w:ascii="Times New Roman" w:cs="Times New Roman" w:eastAsia="Times New Roman" w:hAnsi="Times New Roman"/>
                <w:sz w:val="20"/>
                <w:szCs w:val="20"/>
                <w:color w:val="auto"/>
              </w:rPr>
              <w:t>0</w:t>
            </w:r>
          </w:p>
        </w:tc>
      </w:tr>
      <w:tr>
        <w:trPr>
          <w:trHeight w:val="21"/>
        </w:trPr>
        <w:tc>
          <w:tcPr>
            <w:tcW w:w="10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63"/>
        </w:trPr>
        <w:tc>
          <w:tcPr>
            <w:tcW w:w="1040" w:type="dxa"/>
            <w:vAlign w:val="bottom"/>
            <w:shd w:val="clear" w:color="auto" w:fill="DCDCDC"/>
          </w:tcPr>
          <w:p>
            <w:pPr>
              <w:ind w:left="600"/>
              <w:spacing w:after="0"/>
              <w:rPr>
                <w:sz w:val="20"/>
                <w:szCs w:val="20"/>
                <w:color w:val="auto"/>
              </w:rPr>
            </w:pPr>
            <w:r>
              <w:rPr>
                <w:rFonts w:ascii="Times New Roman" w:cs="Times New Roman" w:eastAsia="Times New Roman" w:hAnsi="Times New Roman"/>
                <w:sz w:val="20"/>
                <w:szCs w:val="20"/>
                <w:color w:val="auto"/>
              </w:rPr>
              <w:t>(iv)</w:t>
            </w:r>
          </w:p>
        </w:tc>
        <w:tc>
          <w:tcPr>
            <w:tcW w:w="6500" w:type="dxa"/>
            <w:vAlign w:val="bottom"/>
            <w:shd w:val="clear" w:color="auto" w:fill="DCDCDC"/>
          </w:tcPr>
          <w:p>
            <w:pPr>
              <w:ind w:left="120"/>
              <w:spacing w:after="0"/>
              <w:rPr>
                <w:sz w:val="20"/>
                <w:szCs w:val="20"/>
                <w:color w:val="auto"/>
              </w:rPr>
            </w:pPr>
            <w:r>
              <w:rPr>
                <w:rFonts w:ascii="Times New Roman" w:cs="Times New Roman" w:eastAsia="Times New Roman" w:hAnsi="Times New Roman"/>
                <w:sz w:val="20"/>
                <w:szCs w:val="20"/>
                <w:color w:val="auto"/>
              </w:rPr>
              <w:t>Shared power to dispose or to direct the disposition of:</w:t>
            </w:r>
          </w:p>
        </w:tc>
        <w:tc>
          <w:tcPr>
            <w:tcW w:w="3700" w:type="dxa"/>
            <w:vAlign w:val="bottom"/>
            <w:shd w:val="clear" w:color="auto" w:fill="DCDCDC"/>
          </w:tcPr>
          <w:p>
            <w:pPr>
              <w:jc w:val="right"/>
              <w:ind w:right="1441"/>
              <w:spacing w:after="0"/>
              <w:rPr>
                <w:sz w:val="20"/>
                <w:szCs w:val="20"/>
                <w:color w:val="auto"/>
              </w:rPr>
            </w:pPr>
            <w:r>
              <w:rPr>
                <w:rFonts w:ascii="Times New Roman" w:cs="Times New Roman" w:eastAsia="Times New Roman" w:hAnsi="Times New Roman"/>
                <w:sz w:val="20"/>
                <w:szCs w:val="20"/>
                <w:color w:val="auto"/>
              </w:rPr>
              <w:t>0</w:t>
            </w:r>
          </w:p>
        </w:tc>
      </w:tr>
      <w:tr>
        <w:trPr>
          <w:trHeight w:val="21"/>
        </w:trPr>
        <w:tc>
          <w:tcPr>
            <w:tcW w:w="1040" w:type="dxa"/>
            <w:vAlign w:val="bottom"/>
            <w:shd w:val="clear" w:color="auto" w:fill="DCDCDC"/>
          </w:tcPr>
          <w:p>
            <w:pPr>
              <w:spacing w:after="0" w:line="20" w:lineRule="exact"/>
              <w:rPr>
                <w:sz w:val="1"/>
                <w:szCs w:val="1"/>
                <w:color w:val="auto"/>
              </w:rPr>
            </w:pPr>
          </w:p>
        </w:tc>
        <w:tc>
          <w:tcPr>
            <w:tcW w:w="6500" w:type="dxa"/>
            <w:vAlign w:val="bottom"/>
            <w:shd w:val="clear" w:color="auto" w:fill="DCDCDC"/>
          </w:tcPr>
          <w:p>
            <w:pPr>
              <w:spacing w:after="0" w:line="20" w:lineRule="exact"/>
              <w:rPr>
                <w:sz w:val="1"/>
                <w:szCs w:val="1"/>
                <w:color w:val="auto"/>
              </w:rPr>
            </w:pPr>
          </w:p>
        </w:tc>
        <w:tc>
          <w:tcPr>
            <w:tcW w:w="3700" w:type="dxa"/>
            <w:vAlign w:val="bottom"/>
            <w:shd w:val="clear" w:color="auto" w:fill="DCDCDC"/>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Ownership of Five Percent or Less of a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 has ceased to be the beneficial owner of more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than five percent of the class of securities, check the following [X] .</w:t>
      </w:r>
    </w:p>
    <w:p>
      <w:pPr>
        <w:spacing w:after="0"/>
        <w:rPr>
          <w:sz w:val="20"/>
          <w:szCs w:val="20"/>
          <w:color w:val="auto"/>
        </w:rPr>
      </w:pPr>
      <w:r>
        <w:rPr>
          <w:rFonts w:ascii="Times New Roman" w:cs="Times New Roman" w:eastAsia="Times New Roman" w:hAnsi="Times New Roman"/>
          <w:sz w:val="20"/>
          <w:szCs w:val="20"/>
          <w:i w:val="1"/>
          <w:iCs w:val="1"/>
          <w:color w:val="auto"/>
        </w:rPr>
        <w:t>Instruction</w:t>
      </w:r>
      <w:r>
        <w:rPr>
          <w:rFonts w:ascii="Times New Roman" w:cs="Times New Roman" w:eastAsia="Times New Roman" w:hAnsi="Times New Roman"/>
          <w:sz w:val="20"/>
          <w:szCs w:val="20"/>
          <w:color w:val="auto"/>
        </w:rPr>
        <w:t>. Dissolution of a group requires a response to this item.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reporting person has ceased to be the beneficial owner of more than five percent of the class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Ownership of More than Five Percent on Behalf of Another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w:t>
      </w:r>
    </w:p>
    <w:p>
      <w:pPr>
        <w:spacing w:after="0" w:line="22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Item 7. Identification and Classification of the Subsidiary Which Acquired the Security Being Reported on By the Parent Holding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Identification and Classification of Members of the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Notice of Dissolution of Group.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w:t>
      </w:r>
    </w:p>
    <w:p>
      <w:pPr>
        <w:sectPr>
          <w:pgSz w:w="11900" w:h="16838" w:orient="portrait"/>
          <w:cols w:equalWidth="0" w:num="1">
            <w:col w:w="11240"/>
          </w:cols>
          <w:pgMar w:left="320" w:top="471"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03"/>
        </w:trPr>
        <w:tc>
          <w:tcPr>
            <w:tcW w:w="34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CUSIP No. 379577208</w:t>
            </w:r>
          </w:p>
        </w:tc>
        <w:tc>
          <w:tcPr>
            <w:tcW w:w="4480" w:type="dxa"/>
            <w:vAlign w:val="bottom"/>
            <w:tcBorders>
              <w:right w:val="single" w:sz="8" w:color="auto"/>
            </w:tcBorders>
          </w:tcPr>
          <w:p>
            <w:pPr>
              <w:ind w:left="2060"/>
              <w:spacing w:after="0"/>
              <w:rPr>
                <w:sz w:val="20"/>
                <w:szCs w:val="20"/>
                <w:color w:val="auto"/>
              </w:rPr>
            </w:pPr>
            <w:r>
              <w:rPr>
                <w:rFonts w:ascii="Times New Roman" w:cs="Times New Roman" w:eastAsia="Times New Roman" w:hAnsi="Times New Roman"/>
                <w:sz w:val="20"/>
                <w:szCs w:val="20"/>
                <w:color w:val="auto"/>
              </w:rPr>
              <w:t>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20"/>
                <w:szCs w:val="20"/>
                <w:color w:val="auto"/>
              </w:rPr>
              <w:t>Page 5 of 5 Pages</w:t>
            </w:r>
          </w:p>
        </w:tc>
      </w:tr>
      <w:tr>
        <w:trPr>
          <w:trHeight w:val="48"/>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Certification.</w:t>
      </w:r>
    </w:p>
    <w:p>
      <w:pPr>
        <w:spacing w:after="0" w:line="233" w:lineRule="exact"/>
        <w:rPr>
          <w:sz w:val="20"/>
          <w:szCs w:val="20"/>
          <w:color w:val="auto"/>
        </w:rPr>
      </w:pPr>
    </w:p>
    <w:p>
      <w:pPr>
        <w:jc w:val="both"/>
        <w:ind w:right="20" w:firstLine="972"/>
        <w:spacing w:after="0" w:line="254"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3"/>
          <w:szCs w:val="13"/>
          <w:b w:val="1"/>
          <w:bCs w:val="1"/>
          <w:color w:val="auto"/>
        </w:rPr>
        <w:t>ignature</w:t>
      </w:r>
    </w:p>
    <w:p>
      <w:pPr>
        <w:spacing w:after="0" w:line="233"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6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Kayne Anderson Rudnick Investment Management, LLC</w:t>
      </w:r>
    </w:p>
    <w:p>
      <w:pPr>
        <w:spacing w:after="0" w:line="233" w:lineRule="exact"/>
        <w:rPr>
          <w:sz w:val="20"/>
          <w:szCs w:val="20"/>
          <w:color w:val="auto"/>
        </w:rPr>
      </w:pPr>
    </w:p>
    <w:p>
      <w:pPr>
        <w:ind w:left="5480"/>
        <w:spacing w:after="0"/>
        <w:tabs>
          <w:tab w:leader="none" w:pos="6040" w:val="left"/>
        </w:tabs>
        <w:rPr>
          <w:sz w:val="20"/>
          <w:szCs w:val="20"/>
          <w:color w:val="auto"/>
        </w:rPr>
      </w:pPr>
      <w:r>
        <w:rPr>
          <w:rFonts w:ascii="Times New Roman" w:cs="Times New Roman" w:eastAsia="Times New Roman" w:hAnsi="Times New Roman"/>
          <w:sz w:val="20"/>
          <w:szCs w:val="20"/>
          <w:color w:val="auto"/>
        </w:rPr>
        <w:t>By:</w:t>
        <w:tab/>
        <w:t>/s/ Michael Shoemaker</w:t>
      </w:r>
    </w:p>
    <w:p>
      <w:pPr>
        <w:spacing w:after="0" w:line="2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 Michael Shoemaker</w:t>
      </w:r>
    </w:p>
    <w:p>
      <w:pPr>
        <w:ind w:left="5480"/>
        <w:spacing w:after="0"/>
        <w:tabs>
          <w:tab w:leader="none" w:pos="60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Compliance Officer</w:t>
      </w:r>
    </w:p>
    <w:p>
      <w:pPr>
        <w:ind w:left="5480"/>
        <w:spacing w:after="0"/>
        <w:rPr>
          <w:sz w:val="20"/>
          <w:szCs w:val="20"/>
          <w:color w:val="auto"/>
        </w:rPr>
      </w:pPr>
      <w:r>
        <w:rPr>
          <w:rFonts w:ascii="Times New Roman" w:cs="Times New Roman" w:eastAsia="Times New Roman" w:hAnsi="Times New Roman"/>
          <w:sz w:val="20"/>
          <w:szCs w:val="20"/>
          <w:color w:val="auto"/>
        </w:rPr>
        <w:t>Date:  February 13, 2024</w:t>
      </w:r>
    </w:p>
    <w:sectPr>
      <w:pgSz w:w="11900" w:h="16838" w:orient="portrait"/>
      <w:cols w:equalWidth="0" w:num="1">
        <w:col w:w="11240"/>
      </w:cols>
      <w:pgMar w:left="320" w:top="4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2]"/>
      <w:numFmt w:val="upperLetter"/>
      <w:start w:val="24"/>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3"/>
    </w:lvl>
    <w:lvl w:ilvl="1">
      <w:lvlJc w:val="left"/>
      <w:lvlText w:val="%2."/>
      <w:numFmt w:val="decimal"/>
      <w:start w:val="5"/>
    </w:lvl>
  </w:abstractNum>
  <w:abstractNum w:abstractNumId="3">
    <w:nsid w:val="41B71EFB"/>
    <w:multiLevelType w:val="hybridMultilevel"/>
    <w:lvl w:ilvl="0">
      <w:lvlJc w:val="left"/>
      <w:lvlText w:val="%1"/>
      <w:numFmt w:val="decimal"/>
      <w:start w:val="1"/>
    </w:lvl>
    <w:lvl w:ilvl="1">
      <w:lvlJc w:val="left"/>
      <w:lvlText w:val="%2."/>
      <w:numFmt w:val="decimal"/>
      <w:start w:val="8"/>
    </w:lvl>
  </w:abstractNum>
  <w:abstractNum w:abstractNumId="4">
    <w:nsid w:val="79E2A9E3"/>
    <w:multiLevelType w:val="hybridMultilevel"/>
    <w:lvl w:ilvl="0">
      <w:lvlJc w:val="left"/>
      <w:lvlText w:val="%1."/>
      <w:numFmt w:val="decimal"/>
      <w:start w:val="9"/>
    </w:lvl>
    <w:lvl w:ilvl="1">
      <w:lvlJc w:val="left"/>
      <w:lvlText w:val="%2"/>
      <w:numFmt w:val="decimal"/>
      <w:start w:val="1"/>
    </w:lvl>
  </w:abstractNum>
  <w:abstractNum w:abstractNumId="5">
    <w:nsid w:val="7545E146"/>
    <w:multiLevelType w:val="hybridMultilevel"/>
    <w:lvl w:ilvl="0">
      <w:lvlJc w:val="left"/>
      <w:lvlText w:val="%1."/>
      <w:numFmt w:val="decimal"/>
      <w:start w:val="10"/>
    </w:lvl>
  </w:abstractNum>
  <w:abstractNum w:abstractNumId="6">
    <w:nsid w:val="515F007C"/>
    <w:multiLevelType w:val="hybridMultilevel"/>
    <w:lvl w:ilvl="0">
      <w:lvlJc w:val="left"/>
      <w:lvlText w:val="(%1)"/>
      <w:numFmt w:val="lowerLetter"/>
      <w:start w:val="2"/>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2024-02-13T15:25:09Z</dcterms:created>
  <dcterms:modified xsi:type="dcterms:W3CDTF">2024-02-13T15:25:09Z</dcterms:modified>
</cp:coreProperties>
</file>