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186"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20"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spacing w:after="0" w:line="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78"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November 5, 2024</w:t>
      </w:r>
    </w:p>
    <w:p>
      <w:pPr>
        <w:spacing w:after="0" w:line="14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0"/>
          <w:szCs w:val="40"/>
          <w:b w:val="1"/>
          <w:bCs w:val="1"/>
          <w:color w:val="auto"/>
        </w:rPr>
        <w:t>GLOBUS MEDICAL, INC.</w:t>
      </w:r>
    </w:p>
    <w:p>
      <w:pPr>
        <w:spacing w:after="0" w:line="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charter)</w:t>
      </w:r>
    </w:p>
    <w:p>
      <w:pPr>
        <w:spacing w:after="0" w:line="154" w:lineRule="exact"/>
        <w:rPr>
          <w:sz w:val="24"/>
          <w:szCs w:val="24"/>
          <w:color w:val="auto"/>
        </w:rPr>
      </w:pPr>
    </w:p>
    <w:tbl>
      <w:tblPr>
        <w:tblLayout w:type="fixed"/>
        <w:tblInd w:w="1260" w:type="dxa"/>
        <w:tblCellMar>
          <w:top w:w="0" w:type="dxa"/>
          <w:left w:w="0" w:type="dxa"/>
          <w:bottom w:w="0" w:type="dxa"/>
          <w:right w:w="0" w:type="dxa"/>
        </w:tblCellMar>
      </w:tblPr>
      <w:tr>
        <w:trPr>
          <w:trHeight w:val="207"/>
        </w:trPr>
        <w:tc>
          <w:tcPr>
            <w:tcW w:w="2780" w:type="dxa"/>
            <w:vAlign w:val="bottom"/>
          </w:tcPr>
          <w:p>
            <w:pPr>
              <w:jc w:val="center"/>
              <w:ind w:right="1082"/>
              <w:spacing w:after="0"/>
              <w:rPr>
                <w:sz w:val="20"/>
                <w:szCs w:val="20"/>
                <w:color w:val="auto"/>
              </w:rPr>
            </w:pPr>
            <w:r>
              <w:rPr>
                <w:rFonts w:ascii="Times New Roman" w:cs="Times New Roman" w:eastAsia="Times New Roman" w:hAnsi="Times New Roman"/>
                <w:sz w:val="18"/>
                <w:szCs w:val="18"/>
                <w:b w:val="1"/>
                <w:bCs w:val="1"/>
                <w:color w:val="auto"/>
                <w:w w:val="96"/>
              </w:rPr>
              <w:t>DELAWARE</w:t>
            </w:r>
          </w:p>
        </w:tc>
        <w:tc>
          <w:tcPr>
            <w:tcW w:w="3280" w:type="dxa"/>
            <w:vAlign w:val="bottom"/>
          </w:tcPr>
          <w:p>
            <w:pPr>
              <w:ind w:left="1180"/>
              <w:spacing w:after="0"/>
              <w:rPr>
                <w:sz w:val="20"/>
                <w:szCs w:val="20"/>
                <w:color w:val="auto"/>
              </w:rPr>
            </w:pPr>
            <w:r>
              <w:rPr>
                <w:rFonts w:ascii="Times New Roman" w:cs="Times New Roman" w:eastAsia="Times New Roman" w:hAnsi="Times New Roman"/>
                <w:sz w:val="18"/>
                <w:szCs w:val="18"/>
                <w:b w:val="1"/>
                <w:bCs w:val="1"/>
                <w:color w:val="auto"/>
              </w:rPr>
              <w:t>001-35621</w:t>
            </w:r>
          </w:p>
        </w:tc>
        <w:tc>
          <w:tcPr>
            <w:tcW w:w="2420" w:type="dxa"/>
            <w:vAlign w:val="bottom"/>
          </w:tcPr>
          <w:p>
            <w:pPr>
              <w:jc w:val="center"/>
              <w:ind w:left="1202"/>
              <w:spacing w:after="0"/>
              <w:rPr>
                <w:sz w:val="20"/>
                <w:szCs w:val="20"/>
                <w:color w:val="auto"/>
              </w:rPr>
            </w:pPr>
            <w:r>
              <w:rPr>
                <w:rFonts w:ascii="Times New Roman" w:cs="Times New Roman" w:eastAsia="Times New Roman" w:hAnsi="Times New Roman"/>
                <w:sz w:val="18"/>
                <w:szCs w:val="18"/>
                <w:b w:val="1"/>
                <w:bCs w:val="1"/>
                <w:color w:val="auto"/>
                <w:w w:val="98"/>
              </w:rPr>
              <w:t>04-3744954</w:t>
            </w:r>
          </w:p>
        </w:tc>
      </w:tr>
      <w:tr>
        <w:trPr>
          <w:trHeight w:val="148"/>
        </w:trPr>
        <w:tc>
          <w:tcPr>
            <w:tcW w:w="2780" w:type="dxa"/>
            <w:vAlign w:val="bottom"/>
          </w:tcPr>
          <w:p>
            <w:pPr>
              <w:jc w:val="center"/>
              <w:ind w:right="106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3280" w:type="dxa"/>
            <w:vAlign w:val="bottom"/>
          </w:tcPr>
          <w:p>
            <w:pPr>
              <w:ind w:left="118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420" w:type="dxa"/>
            <w:vAlign w:val="bottom"/>
          </w:tcPr>
          <w:p>
            <w:pPr>
              <w:jc w:val="center"/>
              <w:ind w:left="120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780" w:type="dxa"/>
            <w:vAlign w:val="bottom"/>
          </w:tcPr>
          <w:p>
            <w:pPr>
              <w:jc w:val="center"/>
              <w:ind w:right="108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3280" w:type="dxa"/>
            <w:vAlign w:val="bottom"/>
          </w:tcPr>
          <w:p>
            <w:pPr>
              <w:ind w:left="116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420" w:type="dxa"/>
            <w:vAlign w:val="bottom"/>
          </w:tcPr>
          <w:p>
            <w:pPr>
              <w:jc w:val="center"/>
              <w:ind w:left="120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pacing w:after="0" w:line="15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2560 GENERAL ARMISTEAD AVENUE, AUDUBON, PA 19403-5214</w:t>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1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(610) 930-1800</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354" w:lineRule="exact"/>
        <w:rPr>
          <w:sz w:val="24"/>
          <w:szCs w:val="24"/>
          <w:color w:val="auto"/>
        </w:rPr>
      </w:pPr>
    </w:p>
    <w:p>
      <w:pPr>
        <w:ind w:right="680"/>
        <w:spacing w:after="0" w:line="250"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49" w:lineRule="exact"/>
        <w:rPr>
          <w:sz w:val="24"/>
          <w:szCs w:val="24"/>
          <w:color w:val="auto"/>
        </w:rPr>
      </w:pPr>
    </w:p>
    <w:p>
      <w:pPr>
        <w:ind w:left="500" w:hanging="492"/>
        <w:spacing w:after="0"/>
        <w:tabs>
          <w:tab w:leader="none" w:pos="50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71" w:lineRule="exact"/>
        <w:rPr>
          <w:rFonts w:ascii="Wingdings" w:cs="Wingdings" w:eastAsia="Wingdings" w:hAnsi="Wingdings"/>
          <w:sz w:val="18"/>
          <w:szCs w:val="18"/>
          <w:b w:val="1"/>
          <w:bCs w:val="1"/>
          <w:color w:val="auto"/>
        </w:rPr>
      </w:pPr>
    </w:p>
    <w:p>
      <w:pPr>
        <w:ind w:left="500" w:hanging="492"/>
        <w:spacing w:after="0"/>
        <w:tabs>
          <w:tab w:leader="none" w:pos="50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71" w:lineRule="exact"/>
        <w:rPr>
          <w:rFonts w:ascii="Wingdings" w:cs="Wingdings" w:eastAsia="Wingdings" w:hAnsi="Wingdings"/>
          <w:sz w:val="18"/>
          <w:szCs w:val="18"/>
          <w:b w:val="1"/>
          <w:bCs w:val="1"/>
          <w:color w:val="auto"/>
        </w:rPr>
      </w:pPr>
    </w:p>
    <w:p>
      <w:pPr>
        <w:ind w:left="500" w:hanging="492"/>
        <w:spacing w:after="0"/>
        <w:tabs>
          <w:tab w:leader="none" w:pos="50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71" w:lineRule="exact"/>
        <w:rPr>
          <w:rFonts w:ascii="Wingdings" w:cs="Wingdings" w:eastAsia="Wingdings" w:hAnsi="Wingdings"/>
          <w:sz w:val="18"/>
          <w:szCs w:val="18"/>
          <w:b w:val="1"/>
          <w:bCs w:val="1"/>
          <w:color w:val="auto"/>
        </w:rPr>
      </w:pPr>
    </w:p>
    <w:p>
      <w:pPr>
        <w:ind w:left="500" w:hanging="492"/>
        <w:spacing w:after="0"/>
        <w:tabs>
          <w:tab w:leader="none" w:pos="50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1240"/>
          </w:cols>
          <w:pgMar w:left="320" w:top="196" w:right="339" w:bottom="1440" w:gutter="0" w:footer="0" w:header="0"/>
        </w:sectPr>
      </w:pPr>
    </w:p>
    <w:p>
      <w:pPr>
        <w:jc w:val="center"/>
        <w:ind w:right="220"/>
        <w:spacing w:after="0" w:line="221" w:lineRule="auto"/>
        <w:rPr>
          <w:sz w:val="20"/>
          <w:szCs w:val="20"/>
          <w:color w:val="auto"/>
        </w:rPr>
      </w:pPr>
      <w:r>
        <w:rPr>
          <w:rFonts w:ascii="Times New Roman" w:cs="Times New Roman" w:eastAsia="Times New Roman" w:hAnsi="Times New Roman"/>
          <w:sz w:val="18"/>
          <w:szCs w:val="18"/>
          <w:b w:val="1"/>
          <w:bCs w:val="1"/>
          <w:color w:val="auto"/>
        </w:rPr>
        <w:t>Title of each class</w:t>
      </w:r>
    </w:p>
    <w:p>
      <w:pPr>
        <w:jc w:val="center"/>
        <w:ind w:right="220"/>
        <w:spacing w:after="0"/>
        <w:rPr>
          <w:sz w:val="20"/>
          <w:szCs w:val="20"/>
          <w:color w:val="auto"/>
        </w:rPr>
      </w:pPr>
      <w:r>
        <w:rPr>
          <w:rFonts w:ascii="Times New Roman" w:cs="Times New Roman" w:eastAsia="Times New Roman" w:hAnsi="Times New Roman"/>
          <w:sz w:val="17"/>
          <w:szCs w:val="17"/>
          <w:color w:val="auto"/>
        </w:rPr>
        <w:t>Class A Common Stock, par value $.001 per share</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right="680" w:hanging="390"/>
        <w:spacing w:after="0" w:line="219" w:lineRule="auto"/>
        <w:rPr>
          <w:sz w:val="20"/>
          <w:szCs w:val="20"/>
          <w:color w:val="auto"/>
        </w:rPr>
      </w:pPr>
      <w:r>
        <w:rPr>
          <w:rFonts w:ascii="Times New Roman" w:cs="Times New Roman" w:eastAsia="Times New Roman" w:hAnsi="Times New Roman"/>
          <w:sz w:val="18"/>
          <w:szCs w:val="18"/>
          <w:b w:val="1"/>
          <w:bCs w:val="1"/>
          <w:color w:val="auto"/>
        </w:rPr>
        <w:t>Trading Symbols</w:t>
      </w:r>
      <w:r>
        <w:rPr>
          <w:sz w:val="20"/>
          <w:szCs w:val="20"/>
          <w:color w:val="auto"/>
        </w:rPr>
        <w:t xml:space="preserve"> </w:t>
      </w:r>
      <w:r>
        <w:rPr>
          <w:rFonts w:ascii="Times New Roman" w:cs="Times New Roman" w:eastAsia="Times New Roman" w:hAnsi="Times New Roman"/>
          <w:sz w:val="18"/>
          <w:szCs w:val="18"/>
          <w:b w:val="1"/>
          <w:bCs w:val="1"/>
          <w:color w:val="auto"/>
        </w:rPr>
        <w:t xml:space="preserve">Name of exchange on which registered </w:t>
      </w:r>
      <w:r>
        <w:rPr>
          <w:rFonts w:ascii="Times New Roman" w:cs="Times New Roman" w:eastAsia="Times New Roman" w:hAnsi="Times New Roman"/>
          <w:sz w:val="18"/>
          <w:szCs w:val="18"/>
          <w:color w:val="auto"/>
        </w:rPr>
        <w:t>GMED New York Stock Exchange</w:t>
      </w:r>
    </w:p>
    <w:p>
      <w:pPr>
        <w:spacing w:after="0" w:line="144" w:lineRule="exact"/>
        <w:rPr>
          <w:sz w:val="24"/>
          <w:szCs w:val="24"/>
          <w:color w:val="auto"/>
        </w:rPr>
      </w:pPr>
    </w:p>
    <w:p>
      <w:pPr>
        <w:sectPr>
          <w:pgSz w:w="11900" w:h="16838" w:orient="portrait"/>
          <w:cols w:equalWidth="0" w:num="2">
            <w:col w:w="4740" w:space="720"/>
            <w:col w:w="5780"/>
          </w:cols>
          <w:pgMar w:left="320" w:top="196" w:right="339" w:bottom="1440" w:gutter="0" w:footer="0" w:header="0"/>
          <w:type w:val="continuous"/>
        </w:sectPr>
      </w:pPr>
    </w:p>
    <w:p>
      <w:pPr>
        <w:ind w:right="40"/>
        <w:spacing w:after="0" w:line="250"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as defined in Rule 405 of the Securities Act of 1933 (§230.405 of this chapter) or Rule 12b-2 of the Securities Exchange Act of 1934 (§240.12b-2 of this chapter).</w:t>
      </w:r>
    </w:p>
    <w:p>
      <w:pPr>
        <w:sectPr>
          <w:pgSz w:w="11900" w:h="16838" w:orient="portrait"/>
          <w:cols w:equalWidth="0" w:num="1">
            <w:col w:w="11240"/>
          </w:cols>
          <w:pgMar w:left="320" w:top="196" w:right="339" w:bottom="1440" w:gutter="0" w:footer="0" w:header="0"/>
          <w:type w:val="continuous"/>
        </w:sectPr>
      </w:pPr>
    </w:p>
    <w:p>
      <w:pPr>
        <w:spacing w:after="0" w:line="14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Emerging growth company</w:t>
      </w:r>
    </w:p>
    <w:p>
      <w:pPr>
        <w:spacing w:after="0" w:line="20" w:lineRule="exact"/>
        <w:rPr>
          <w:sz w:val="24"/>
          <w:szCs w:val="24"/>
          <w:color w:val="auto"/>
        </w:rPr>
      </w:pPr>
      <w:r>
        <w:rPr>
          <w:sz w:val="24"/>
          <w:szCs w:val="24"/>
          <w:color w:val="auto"/>
        </w:rPr>
        <w:br w:type="column"/>
      </w:r>
    </w:p>
    <w:p>
      <w:pPr>
        <w:spacing w:after="0" w:line="148" w:lineRule="exact"/>
        <w:rPr>
          <w:sz w:val="24"/>
          <w:szCs w:val="24"/>
          <w:color w:val="auto"/>
        </w:rPr>
      </w:pPr>
    </w:p>
    <w:p>
      <w:pPr>
        <w:spacing w:after="0"/>
        <w:rPr>
          <w:sz w:val="20"/>
          <w:szCs w:val="20"/>
          <w:color w:val="auto"/>
        </w:rPr>
      </w:pPr>
      <w:r>
        <w:rPr>
          <w:rFonts w:ascii="Wingdings" w:cs="Wingdings" w:eastAsia="Wingdings" w:hAnsi="Wingdings"/>
          <w:sz w:val="17"/>
          <w:szCs w:val="17"/>
          <w:b w:val="1"/>
          <w:bCs w:val="1"/>
          <w:color w:val="auto"/>
        </w:rPr>
        <w:t></w:t>
      </w:r>
    </w:p>
    <w:p>
      <w:pPr>
        <w:spacing w:after="0" w:line="198" w:lineRule="exact"/>
        <w:rPr>
          <w:sz w:val="24"/>
          <w:szCs w:val="24"/>
          <w:color w:val="auto"/>
        </w:rPr>
      </w:pPr>
    </w:p>
    <w:p>
      <w:pPr>
        <w:sectPr>
          <w:pgSz w:w="11900" w:h="16838" w:orient="portrait"/>
          <w:cols w:equalWidth="0" w:num="2">
            <w:col w:w="1980" w:space="220"/>
            <w:col w:w="9040"/>
          </w:cols>
          <w:pgMar w:left="320" w:top="196" w:right="339" w:bottom="1440" w:gutter="0" w:footer="0" w:header="0"/>
          <w:type w:val="continuous"/>
        </w:sectPr>
      </w:pPr>
    </w:p>
    <w:p>
      <w:pPr>
        <w:spacing w:after="0" w:line="250"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556895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spacing w:after="0"/>
        <w:rPr>
          <w:sz w:val="20"/>
          <w:szCs w:val="20"/>
          <w:color w:val="auto"/>
        </w:rPr>
      </w:pPr>
      <w:r>
        <w:rPr>
          <w:rFonts w:ascii="Wingdings" w:cs="Wingdings" w:eastAsia="Wingdings" w:hAnsi="Wingdings"/>
          <w:sz w:val="17"/>
          <w:szCs w:val="17"/>
          <w:b w:val="1"/>
          <w:bCs w:val="1"/>
          <w:color w:val="auto"/>
        </w:rPr>
        <w:t></w:t>
      </w:r>
    </w:p>
    <w:p>
      <w:pPr>
        <w:sectPr>
          <w:pgSz w:w="11900" w:h="16838" w:orient="portrait"/>
          <w:cols w:equalWidth="0" w:num="2">
            <w:col w:w="10420" w:space="660"/>
            <w:col w:w="160"/>
          </w:cols>
          <w:pgMar w:left="320" w:top="196"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November 5, 2024, we issued a press release reporting, among other things, our sales and operating results for the three-month period ended September 30, 2024. A copy of the press release is furnished as Exhibit 99.1 to this report.</w:t>
      </w:r>
    </w:p>
    <w:p>
      <w:pPr>
        <w:spacing w:after="0" w:line="12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In accordance with general instruction B.2 to Form 8-K, the information included in this Item 2.02, and the exhibits attached hereto, shall be deemed to be “furnished” and shall not be deemed to be “filed” with the Securities and Exchange Commission for purposes of Section 18 of the Securities Exchange Act of 1934, as amended.</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13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Exhibit No.</w:t>
            </w:r>
          </w:p>
        </w:tc>
        <w:tc>
          <w:tcPr>
            <w:tcW w:w="98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344"/>
        </w:trPr>
        <w:tc>
          <w:tcPr>
            <w:tcW w:w="1240" w:type="dxa"/>
            <w:vAlign w:val="bottom"/>
            <w:tcBorders>
              <w:top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24"/>
                <w:szCs w:val="24"/>
                <w:color w:val="auto"/>
              </w:rPr>
            </w:pPr>
          </w:p>
        </w:tc>
        <w:tc>
          <w:tcPr>
            <w:tcW w:w="20" w:type="dxa"/>
            <w:vAlign w:val="bottom"/>
            <w:tcBorders>
              <w:top w:val="single" w:sz="8" w:color="auto"/>
              <w:bottom w:val="single" w:sz="8" w:color="0000EE"/>
            </w:tcBorders>
          </w:tcPr>
          <w:p>
            <w:pPr>
              <w:spacing w:after="0"/>
              <w:rPr>
                <w:sz w:val="24"/>
                <w:szCs w:val="24"/>
                <w:color w:val="auto"/>
              </w:rPr>
            </w:pPr>
          </w:p>
        </w:tc>
        <w:tc>
          <w:tcPr>
            <w:tcW w:w="2800" w:type="dxa"/>
            <w:vAlign w:val="bottom"/>
            <w:tcBorders>
              <w:top w:val="single" w:sz="8" w:color="auto"/>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8"/>
              </w:rPr>
              <w:t>Press Release dated November 5, 2024</w:t>
            </w:r>
          </w:p>
        </w:tc>
        <w:tc>
          <w:tcPr>
            <w:tcW w:w="20" w:type="dxa"/>
            <w:vAlign w:val="bottom"/>
            <w:tcBorders>
              <w:top w:val="single" w:sz="8" w:color="auto"/>
              <w:bottom w:val="single" w:sz="8" w:color="0000EE"/>
            </w:tcBorders>
          </w:tcPr>
          <w:p>
            <w:pPr>
              <w:spacing w:after="0"/>
              <w:rPr>
                <w:sz w:val="24"/>
                <w:szCs w:val="24"/>
                <w:color w:val="auto"/>
              </w:rPr>
            </w:pPr>
          </w:p>
        </w:tc>
        <w:tc>
          <w:tcPr>
            <w:tcW w:w="7040" w:type="dxa"/>
            <w:vAlign w:val="bottom"/>
            <w:tcBorders>
              <w:top w:val="single" w:sz="8" w:color="auto"/>
            </w:tcBorders>
          </w:tcPr>
          <w:p>
            <w:pPr>
              <w:spacing w:after="0"/>
              <w:rPr>
                <w:sz w:val="24"/>
                <w:szCs w:val="24"/>
                <w:color w:val="auto"/>
              </w:rPr>
            </w:pPr>
          </w:p>
        </w:tc>
      </w:tr>
      <w:tr>
        <w:trPr>
          <w:trHeight w:val="228"/>
        </w:trPr>
        <w:tc>
          <w:tcPr>
            <w:tcW w:w="12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cover page from this Current Report on Form 8-K, formatted as Inline XBRL.</w:t>
            </w:r>
          </w:p>
        </w:tc>
      </w:tr>
      <w:tr>
        <w:trPr>
          <w:trHeight w:val="880"/>
        </w:trPr>
        <w:tc>
          <w:tcPr>
            <w:tcW w:w="1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8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ind w:firstLine="713"/>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18"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b w:val="1"/>
          <w:bCs w:val="1"/>
          <w:u w:val="single" w:color="auto"/>
          <w:color w:val="auto"/>
        </w:rPr>
        <w:t>GLOBUS MEDICAL, INC.</w:t>
      </w:r>
    </w:p>
    <w:p>
      <w:pPr>
        <w:spacing w:after="0" w:line="6"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(Registrant)</w:t>
      </w:r>
    </w:p>
    <w:p>
      <w:pPr>
        <w:spacing w:after="0" w:line="147" w:lineRule="exact"/>
        <w:rPr>
          <w:sz w:val="20"/>
          <w:szCs w:val="20"/>
          <w:color w:val="auto"/>
        </w:rPr>
      </w:pPr>
    </w:p>
    <w:p>
      <w:pPr>
        <w:ind w:left="20"/>
        <w:spacing w:after="0"/>
        <w:tabs>
          <w:tab w:leader="none" w:pos="940" w:val="left"/>
          <w:tab w:leader="none" w:pos="492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8"/>
          <w:szCs w:val="18"/>
          <w:color w:val="auto"/>
        </w:rPr>
        <w:t>November 5, 2024</w:t>
      </w:r>
      <w:r>
        <w:rPr>
          <w:sz w:val="20"/>
          <w:szCs w:val="20"/>
          <w:color w:val="auto"/>
        </w:rPr>
        <w:tab/>
      </w:r>
      <w:r>
        <w:rPr>
          <w:rFonts w:ascii="Times New Roman" w:cs="Times New Roman" w:eastAsia="Times New Roman" w:hAnsi="Times New Roman"/>
          <w:sz w:val="17"/>
          <w:szCs w:val="17"/>
          <w:b w:val="1"/>
          <w:bCs w:val="1"/>
          <w:u w:val="single" w:color="auto"/>
          <w:color w:val="auto"/>
        </w:rPr>
        <w:t>/s/ KEITH PFEIL</w:t>
      </w:r>
    </w:p>
    <w:p>
      <w:pPr>
        <w:spacing w:after="0" w:line="175"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Keith Pfeil</w:t>
      </w:r>
    </w:p>
    <w:p>
      <w:pPr>
        <w:ind w:left="4940"/>
        <w:spacing w:after="0" w:line="221" w:lineRule="auto"/>
        <w:rPr>
          <w:sz w:val="20"/>
          <w:szCs w:val="20"/>
          <w:color w:val="auto"/>
        </w:rPr>
      </w:pPr>
      <w:r>
        <w:rPr>
          <w:rFonts w:ascii="Times New Roman" w:cs="Times New Roman" w:eastAsia="Times New Roman" w:hAnsi="Times New Roman"/>
          <w:sz w:val="18"/>
          <w:szCs w:val="18"/>
          <w:color w:val="auto"/>
        </w:rPr>
        <w:t>Chief Financial Officer and Chief Operating Officer</w:t>
      </w:r>
    </w:p>
    <w:p>
      <w:pPr>
        <w:ind w:left="4940"/>
        <w:spacing w:after="0" w:line="219" w:lineRule="auto"/>
        <w:rPr>
          <w:sz w:val="20"/>
          <w:szCs w:val="20"/>
          <w:color w:val="auto"/>
        </w:rPr>
      </w:pPr>
      <w:r>
        <w:rPr>
          <w:rFonts w:ascii="Times New Roman" w:cs="Times New Roman" w:eastAsia="Times New Roman" w:hAnsi="Times New Roman"/>
          <w:sz w:val="18"/>
          <w:szCs w:val="18"/>
          <w:color w:val="auto"/>
        </w:rPr>
        <w:t>Chief Accounting Officer</w:t>
      </w:r>
    </w:p>
    <w:p>
      <w:pPr>
        <w:ind w:left="4940"/>
        <w:spacing w:after="0" w:line="219" w:lineRule="auto"/>
        <w:rPr>
          <w:sz w:val="20"/>
          <w:szCs w:val="20"/>
          <w:color w:val="auto"/>
        </w:rPr>
      </w:pPr>
      <w:r>
        <w:rPr>
          <w:rFonts w:ascii="Times New Roman" w:cs="Times New Roman" w:eastAsia="Times New Roman" w:hAnsi="Times New Roman"/>
          <w:sz w:val="18"/>
          <w:szCs w:val="18"/>
          <w:color w:val="auto"/>
        </w:rPr>
        <w:t>Executive Vice President</w:t>
      </w:r>
    </w:p>
    <w:p>
      <w:pPr>
        <w:spacing w:after="0" w:line="1"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20"/>
          </w:cols>
          <w:pgMar w:left="320" w:top="293" w:right="3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Globus Medical Reports Third Quarter 2024 Results</w:t>
      </w:r>
    </w:p>
    <w:p>
      <w:pPr>
        <w:spacing w:after="0" w:line="162"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18"/>
          <w:szCs w:val="18"/>
          <w:color w:val="auto"/>
        </w:rPr>
        <w:t>AUDUBON, PA, November 5, 2024: Globus Medical, Inc. (NYSE: GMED), a leading musculoskeletal solutions company, today announced its financial results for the quarter ended September 30, 2024.</w:t>
      </w:r>
    </w:p>
    <w:p>
      <w:pPr>
        <w:spacing w:after="0" w:line="120" w:lineRule="exact"/>
        <w:rPr>
          <w:sz w:val="20"/>
          <w:szCs w:val="20"/>
          <w:color w:val="auto"/>
        </w:rPr>
      </w:pPr>
    </w:p>
    <w:p>
      <w:pPr>
        <w:ind w:left="640" w:hanging="320"/>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Worldwide net sales were $625.7 million, an increase of 63.1%</w:t>
      </w:r>
    </w:p>
    <w:p>
      <w:pPr>
        <w:ind w:left="640" w:hanging="320"/>
        <w:spacing w:after="0" w:line="203" w:lineRule="auto"/>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net income for the quarter was $51.8 million</w:t>
      </w:r>
    </w:p>
    <w:p>
      <w:pPr>
        <w:ind w:left="640" w:hanging="320"/>
        <w:spacing w:after="0" w:line="203" w:lineRule="auto"/>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diluted earnings per share (“EPS”) was $0.38 and non-GAAP diluted EPS was $0.83</w:t>
      </w:r>
    </w:p>
    <w:p>
      <w:pPr>
        <w:ind w:left="640" w:hanging="320"/>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adjusted EBITDA was $193.7 million, or 31.0% of net sales</w:t>
      </w:r>
    </w:p>
    <w:p>
      <w:pPr>
        <w:spacing w:after="0" w:line="124" w:lineRule="exact"/>
        <w:rPr>
          <w:sz w:val="20"/>
          <w:szCs w:val="20"/>
          <w:color w:val="auto"/>
        </w:rPr>
      </w:pPr>
    </w:p>
    <w:p>
      <w:pPr>
        <w:jc w:val="both"/>
        <w:ind w:right="20"/>
        <w:spacing w:after="0" w:line="222" w:lineRule="auto"/>
        <w:rPr>
          <w:sz w:val="20"/>
          <w:szCs w:val="20"/>
          <w:color w:val="auto"/>
        </w:rPr>
      </w:pPr>
      <w:r>
        <w:rPr>
          <w:rFonts w:ascii="Times New Roman" w:cs="Times New Roman" w:eastAsia="Times New Roman" w:hAnsi="Times New Roman"/>
          <w:sz w:val="18"/>
          <w:szCs w:val="18"/>
          <w:color w:val="auto"/>
        </w:rPr>
        <w:t>“Our third quarter results reflect the enduring strength of our business. We’ve continued to deliver on our business objectives to drive sales growth, launch new products, and execute our integration plans, all while delivering strong financial results,” said Dan Scavilla,</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President and Chief Executive Officer. “We strive to move with a sense of urgency to deliver innovations that improve the quality of life of patients with musculoskeletal disorders.”</w:t>
      </w:r>
    </w:p>
    <w:p>
      <w:pPr>
        <w:spacing w:after="0" w:line="130" w:lineRule="exact"/>
        <w:rPr>
          <w:sz w:val="20"/>
          <w:szCs w:val="20"/>
          <w:color w:val="auto"/>
        </w:rPr>
      </w:pPr>
    </w:p>
    <w:p>
      <w:pPr>
        <w:jc w:val="both"/>
        <w:ind w:right="20"/>
        <w:spacing w:after="0" w:line="216" w:lineRule="auto"/>
        <w:rPr>
          <w:sz w:val="20"/>
          <w:szCs w:val="20"/>
          <w:color w:val="auto"/>
        </w:rPr>
      </w:pPr>
      <w:r>
        <w:rPr>
          <w:rFonts w:ascii="Times New Roman" w:cs="Times New Roman" w:eastAsia="Times New Roman" w:hAnsi="Times New Roman"/>
          <w:sz w:val="18"/>
          <w:szCs w:val="18"/>
          <w:color w:val="auto"/>
        </w:rPr>
        <w:t>“The execution of our objectives is clearly visible in our third quarter financial results,” commented Keith Pfeil, COO-CFO. “We delivered meaningful sales growth across our portfolio and generated strong earnings growth, all of which delivered record operating and free cash results in the quarter, while continuing to invest for the long-term. We look to close the remainder of the year with momentum</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build upon this as we enter into 2025.”</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Worldwide net sales for the third quarter of 2024 were $625.7 million, an as-reported increase of 63.1% over the third quarter of</w:t>
      </w:r>
    </w:p>
    <w:p>
      <w:pPr>
        <w:spacing w:after="0" w:line="2" w:lineRule="exact"/>
        <w:rPr>
          <w:sz w:val="20"/>
          <w:szCs w:val="20"/>
          <w:color w:val="auto"/>
        </w:rPr>
      </w:pPr>
    </w:p>
    <w:p>
      <w:pPr>
        <w:jc w:val="both"/>
        <w:ind w:right="20"/>
        <w:spacing w:after="0" w:line="208" w:lineRule="auto"/>
        <w:rPr>
          <w:sz w:val="20"/>
          <w:szCs w:val="20"/>
          <w:color w:val="auto"/>
        </w:rPr>
      </w:pPr>
      <w:r>
        <w:rPr>
          <w:rFonts w:ascii="Times New Roman" w:cs="Times New Roman" w:eastAsia="Times New Roman" w:hAnsi="Times New Roman"/>
          <w:sz w:val="18"/>
          <w:szCs w:val="18"/>
          <w:color w:val="auto"/>
        </w:rPr>
        <w:t>2023. U.S. net sales for the third quarter of 2024 increased by 60.3% compared to the third quarter of 2023. International net sales increased by 74.8% over the third quarter of 2023 on an as-reported basis, and increased by 76.2% on a constant currency basis. Net Sales increases were driven by the addition of NuVasive, as well as increased volume of spine product sales and enabling technology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products and services.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GAAP net income for the third quarter of 2024 was $51.8 million, an increase over the same period in the prior year. Diluted EPS for the</w:t>
      </w:r>
    </w:p>
    <w:p>
      <w:pPr>
        <w:spacing w:after="0" w:line="2" w:lineRule="exact"/>
        <w:rPr>
          <w:sz w:val="20"/>
          <w:szCs w:val="20"/>
          <w:color w:val="auto"/>
        </w:rPr>
      </w:pPr>
    </w:p>
    <w:p>
      <w:pPr>
        <w:jc w:val="both"/>
        <w:ind w:right="20"/>
        <w:spacing w:after="0" w:line="208" w:lineRule="auto"/>
        <w:rPr>
          <w:sz w:val="20"/>
          <w:szCs w:val="20"/>
          <w:color w:val="auto"/>
        </w:rPr>
      </w:pPr>
      <w:r>
        <w:rPr>
          <w:rFonts w:ascii="Times New Roman" w:cs="Times New Roman" w:eastAsia="Times New Roman" w:hAnsi="Times New Roman"/>
          <w:sz w:val="18"/>
          <w:szCs w:val="18"/>
          <w:color w:val="auto"/>
        </w:rPr>
        <w:t>third quarter was $0.38, compared to $0.01 for the third quarter of 2023. The GAAP net income increase was primarily driven by strong sales, as well as a decrease in acquisition related costs in the current period as compared to the prior period. Non-GAAP diluted EPS for the third quarter of 2024, which excludes, among other costs, both acquisition-related and restructuring costs, was $0.83, compared to</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$0.57 in the third quarter of 2023, an increase of 45.2%.</w:t>
      </w:r>
    </w:p>
    <w:p>
      <w:pPr>
        <w:spacing w:after="0" w:line="124"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Net cash provided by operating activities was $203.7 million, and non-GAAP free cash flow was $161.7 million for the third quarter of 2024.</w:t>
      </w:r>
    </w:p>
    <w:p>
      <w:pPr>
        <w:spacing w:after="0" w:line="109" w:lineRule="exact"/>
        <w:rPr>
          <w:sz w:val="20"/>
          <w:szCs w:val="20"/>
          <w:color w:val="auto"/>
        </w:rPr>
      </w:pPr>
    </w:p>
    <w:p>
      <w:pPr>
        <w:jc w:val="both"/>
        <w:ind w:right="20"/>
        <w:spacing w:after="0" w:line="237" w:lineRule="auto"/>
        <w:rPr>
          <w:sz w:val="20"/>
          <w:szCs w:val="20"/>
          <w:color w:val="auto"/>
        </w:rPr>
      </w:pPr>
      <w:r>
        <w:rPr>
          <w:rFonts w:ascii="Times New Roman" w:cs="Times New Roman" w:eastAsia="Times New Roman" w:hAnsi="Times New Roman"/>
          <w:sz w:val="18"/>
          <w:szCs w:val="18"/>
          <w:color w:val="auto"/>
        </w:rPr>
        <w:t>As of September 30, 2024, we no longer include acquisition of in-process research and development as an adjustment to non-GAAP Adjusted EBITDA or non-GAAP net income.</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2024 Annual Guidance</w:t>
      </w:r>
    </w:p>
    <w:p>
      <w:pPr>
        <w:spacing w:after="0" w:line="162" w:lineRule="exact"/>
        <w:rPr>
          <w:sz w:val="20"/>
          <w:szCs w:val="20"/>
          <w:color w:val="auto"/>
        </w:rPr>
      </w:pPr>
    </w:p>
    <w:p>
      <w:pPr>
        <w:ind w:right="60"/>
        <w:spacing w:after="0" w:line="226" w:lineRule="auto"/>
        <w:rPr>
          <w:sz w:val="20"/>
          <w:szCs w:val="20"/>
          <w:color w:val="auto"/>
        </w:rPr>
      </w:pPr>
      <w:r>
        <w:rPr>
          <w:rFonts w:ascii="Times New Roman" w:cs="Times New Roman" w:eastAsia="Times New Roman" w:hAnsi="Times New Roman"/>
          <w:sz w:val="18"/>
          <w:szCs w:val="18"/>
          <w:color w:val="auto"/>
        </w:rPr>
        <w:t>The Company raised its guidance for full year 2024 revenue to be in the range of $2.49 to $2.50 billion, and non-GAAP fully diluted earnings per share to be in the range of $2.90 to $3.00. The revised non-GAAP fully diluted earnings per share guidance includes a $0.09 impact of no longer adjusting for the acquisition of in-process research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116205</wp:posOffset>
            </wp:positionV>
            <wp:extent cx="6351905" cy="514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351905" cy="51435"/>
                    </a:xfrm>
                    <a:prstGeom prst="rect">
                      <a:avLst/>
                    </a:prstGeom>
                    <a:noFill/>
                  </pic:spPr>
                </pic:pic>
              </a:graphicData>
            </a:graphic>
          </wp:anchor>
        </w:drawing>
      </w:r>
    </w:p>
    <w:p>
      <w:pPr>
        <w:sectPr>
          <w:pgSz w:w="11900" w:h="16838" w:orient="portrait"/>
          <w:cols w:equalWidth="0" w:num="1">
            <w:col w:w="9940"/>
          </w:cols>
          <w:pgMar w:left="980" w:top="104" w:right="9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Conference Call Information</w:t>
      </w:r>
    </w:p>
    <w:p>
      <w:pPr>
        <w:spacing w:after="0" w:line="16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Globus Medical will hold a teleconference to discuss its third quarter 2024 results with the investment community at 4:30 p.m. Eastern Time today. Participants may access the conference call live via webcast on the Investors page of Globus Medical’s website at http://www.investors.globusmedical.com/news-events/events-webcasts.</w:t>
      </w:r>
    </w:p>
    <w:p>
      <w:pPr>
        <w:spacing w:after="0" w:line="131" w:lineRule="exact"/>
        <w:rPr>
          <w:sz w:val="20"/>
          <w:szCs w:val="20"/>
          <w:color w:val="auto"/>
        </w:rPr>
      </w:pPr>
    </w:p>
    <w:p>
      <w:pPr>
        <w:jc w:val="both"/>
        <w:ind w:right="20"/>
        <w:spacing w:after="0" w:line="222" w:lineRule="auto"/>
        <w:rPr>
          <w:sz w:val="20"/>
          <w:szCs w:val="20"/>
          <w:color w:val="auto"/>
        </w:rPr>
      </w:pPr>
      <w:r>
        <w:rPr>
          <w:rFonts w:ascii="Times New Roman" w:cs="Times New Roman" w:eastAsia="Times New Roman" w:hAnsi="Times New Roman"/>
          <w:sz w:val="18"/>
          <w:szCs w:val="18"/>
          <w:color w:val="auto"/>
        </w:rPr>
        <w:t>To participate via telephone, please register in advance at this link. Upon registration, all telephone participants will receive a confirmation email detailing how to join the conference call, including the dial-in number along with a unique passcode and registrant ID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 can be used to access the call. The audio archive will be available after the call on the Investor page of the Globus Medical website.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Globus Medical, Inc.</w:t>
      </w:r>
    </w:p>
    <w:p>
      <w:pPr>
        <w:spacing w:after="0" w:line="162"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Based in Audubon, Pennsylvania, Globus Medical, Inc. was founded in 2003 by an experienced team of professionals with a shared vision to create products that enable surgeons to promote healing in patients with musculoskeletal disorders. Additional information can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 accessed at www.globusmedical.com.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111760</wp:posOffset>
            </wp:positionV>
            <wp:extent cx="6351905" cy="514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351905" cy="51435"/>
                    </a:xfrm>
                    <a:prstGeom prst="rect">
                      <a:avLst/>
                    </a:prstGeom>
                    <a:noFill/>
                  </pic:spPr>
                </pic:pic>
              </a:graphicData>
            </a:graphic>
          </wp:anchor>
        </w:drawing>
      </w:r>
    </w:p>
    <w:p>
      <w:pPr>
        <w:sectPr>
          <w:pgSz w:w="11900" w:h="16838" w:orient="portrait"/>
          <w:cols w:equalWidth="0" w:num="1">
            <w:col w:w="9940"/>
          </w:cols>
          <w:pgMar w:left="980" w:top="104" w:right="9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62" w:lineRule="exact"/>
        <w:rPr>
          <w:sz w:val="20"/>
          <w:szCs w:val="20"/>
          <w:color w:val="auto"/>
        </w:rPr>
      </w:pPr>
    </w:p>
    <w:p>
      <w:pPr>
        <w:jc w:val="both"/>
        <w:ind w:right="20"/>
        <w:spacing w:after="0" w:line="216" w:lineRule="auto"/>
        <w:rPr>
          <w:sz w:val="20"/>
          <w:szCs w:val="20"/>
          <w:color w:val="auto"/>
        </w:rPr>
      </w:pPr>
      <w:r>
        <w:rPr>
          <w:rFonts w:ascii="Times New Roman" w:cs="Times New Roman" w:eastAsia="Times New Roman" w:hAnsi="Times New Roman"/>
          <w:sz w:val="18"/>
          <w:szCs w:val="18"/>
          <w:color w:val="auto"/>
        </w:rPr>
        <w:t>To supplement our financial statements prepared in accordance with U.S. generally accepted accounting principles (“U.S. GAAP”), management uses certain non-GAAP financial measures. For example, non-GAAP Adjusted EBITDA, which represents net income before interest income, net and other non-operating expenses, provision for income taxes, depreciation and amortization, stock-based</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compensation expense, provision for litigation, merger and acquisition related costs, restructuring related costs, certain foreign currency acquisition-related impacts, and gains and losses from strategic investments, is useful as an additional measure of operating performance, and particularly as a measure of comparative operating performance from period to period, as it is reflective of changes in pricing</w:t>
      </w:r>
    </w:p>
    <w:p>
      <w:pPr>
        <w:spacing w:after="0" w:line="2" w:lineRule="exact"/>
        <w:rPr>
          <w:sz w:val="20"/>
          <w:szCs w:val="20"/>
          <w:color w:val="auto"/>
        </w:rPr>
      </w:pPr>
    </w:p>
    <w:p>
      <w:pPr>
        <w:jc w:val="both"/>
        <w:ind w:right="20"/>
        <w:spacing w:after="0" w:line="208" w:lineRule="auto"/>
        <w:rPr>
          <w:sz w:val="20"/>
          <w:szCs w:val="20"/>
          <w:color w:val="auto"/>
        </w:rPr>
      </w:pPr>
      <w:r>
        <w:rPr>
          <w:rFonts w:ascii="Times New Roman" w:cs="Times New Roman" w:eastAsia="Times New Roman" w:hAnsi="Times New Roman"/>
          <w:sz w:val="18"/>
          <w:szCs w:val="18"/>
          <w:color w:val="auto"/>
        </w:rPr>
        <w:t>decisions, cost controls and other factors that affect operating performance, and it removes the effect of our capital structure, asset base, income taxes and interest income and expense. As of September 30, 2024, we no longer include acquisition of in-process research and development as an adjustment to non-GAAP Adjusted EBITDA. Our management also uses non-GAAP Adjusted EBITDA for planning</w:t>
      </w:r>
    </w:p>
    <w:p>
      <w:pPr>
        <w:spacing w:after="0" w:line="2" w:lineRule="exact"/>
        <w:rPr>
          <w:sz w:val="20"/>
          <w:szCs w:val="20"/>
          <w:color w:val="auto"/>
        </w:rPr>
      </w:pPr>
    </w:p>
    <w:p>
      <w:pPr>
        <w:jc w:val="both"/>
        <w:ind w:right="20"/>
        <w:spacing w:after="0" w:line="208" w:lineRule="auto"/>
        <w:rPr>
          <w:sz w:val="20"/>
          <w:szCs w:val="20"/>
          <w:color w:val="auto"/>
        </w:rPr>
      </w:pPr>
      <w:r>
        <w:rPr>
          <w:rFonts w:ascii="Times New Roman" w:cs="Times New Roman" w:eastAsia="Times New Roman" w:hAnsi="Times New Roman"/>
          <w:sz w:val="18"/>
          <w:szCs w:val="18"/>
          <w:color w:val="auto"/>
        </w:rPr>
        <w:t>purposes, including the preparation of our annual operating budget and financial projections. Provision for litigation represents costs incurred for litigation settlements or unfavorable verdicts when the loss is known or considered probable and the amount can be reasonably estimated, or in the case of a favorable settlement, when income is realized. Merger and acquisition related costs represents</w:t>
      </w:r>
    </w:p>
    <w:p>
      <w:pPr>
        <w:spacing w:after="0" w:line="2" w:lineRule="exact"/>
        <w:rPr>
          <w:sz w:val="20"/>
          <w:szCs w:val="20"/>
          <w:color w:val="auto"/>
        </w:rPr>
      </w:pPr>
    </w:p>
    <w:p>
      <w:pPr>
        <w:jc w:val="both"/>
        <w:ind w:right="20"/>
        <w:spacing w:after="0" w:line="208" w:lineRule="auto"/>
        <w:rPr>
          <w:sz w:val="20"/>
          <w:szCs w:val="20"/>
          <w:color w:val="auto"/>
        </w:rPr>
      </w:pPr>
      <w:r>
        <w:rPr>
          <w:rFonts w:ascii="Times New Roman" w:cs="Times New Roman" w:eastAsia="Times New Roman" w:hAnsi="Times New Roman"/>
          <w:sz w:val="18"/>
          <w:szCs w:val="18"/>
          <w:color w:val="auto"/>
        </w:rPr>
        <w:t>the change in fair value of business-acquisition-related contingent consideration; costs related to integrating recently acquired businesses, including but not limited to costs to exit or convert contractual obligations, severance, retention bonus, duplicative costs and information system conversion; and specific costs related to the consummation of the acquisition process such as banker fees, legal fees, and other</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acquisition related professional fees. Restructuring related costs include severance, retention bonus, accelerated stock-based compensation expense, and costs associated with consolidating facilities. We also adjusted for certain foreign currency impacts related to the acquisition costs and gains/losses on strategic investments within other assets as we believe these impacts are not a measure of our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performance.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for the period ended September 30, 2024 and for other comparative periods, we are presenting non-GAAP net income and</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non-GAAP Diluted Earnings Per Share, which represent net income and diluted earnings per share excluding the provision for litigation, amortization of intangibles, merger and acquisition related costs, restructuring related costs, certain foreign currency impacts, gains and losses from strategic investments, the impact of dilution attributable to the Convertible Notes, and the tax effects of all of the foregoing</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adjustments. As of September 30, 2024, we no longer include acquisition of in-process research and development as an adjustment to non-GAAP net income. We also present Non-GAAP gross profit, which excludes the impacts of any inventory acquisition-related costs within cost of goods sold. The tax effect adjustment represents the tax effect of the pre-tax non-GAAP adjustments excluded from non-</w:t>
      </w:r>
    </w:p>
    <w:p>
      <w:pPr>
        <w:spacing w:after="0" w:line="2" w:lineRule="exact"/>
        <w:rPr>
          <w:sz w:val="20"/>
          <w:szCs w:val="20"/>
          <w:color w:val="auto"/>
        </w:rPr>
      </w:pPr>
    </w:p>
    <w:p>
      <w:pPr>
        <w:jc w:val="both"/>
        <w:ind w:right="20"/>
        <w:spacing w:after="0" w:line="208" w:lineRule="auto"/>
        <w:rPr>
          <w:sz w:val="20"/>
          <w:szCs w:val="20"/>
          <w:color w:val="auto"/>
        </w:rPr>
      </w:pPr>
      <w:r>
        <w:rPr>
          <w:rFonts w:ascii="Times New Roman" w:cs="Times New Roman" w:eastAsia="Times New Roman" w:hAnsi="Times New Roman"/>
          <w:sz w:val="18"/>
          <w:szCs w:val="18"/>
          <w:color w:val="auto"/>
        </w:rPr>
        <w:t>GAAP net income. The tax impact of the non-GAAP adjustments is calculated based on the consolidated effective tax rate on a GAAP basis, applied to the non-GAAP adjustments, unless the underlying item has a materially different tax treatment, in which case the estimated tax rate applicable to the adjustment is used. We believe these non-GAAP measures are also useful indicators of our operating</w:t>
      </w:r>
    </w:p>
    <w:p>
      <w:pPr>
        <w:spacing w:after="0" w:line="2" w:lineRule="exact"/>
        <w:rPr>
          <w:sz w:val="20"/>
          <w:szCs w:val="20"/>
          <w:color w:val="auto"/>
        </w:rPr>
      </w:pPr>
    </w:p>
    <w:p>
      <w:pPr>
        <w:jc w:val="both"/>
        <w:ind w:right="20"/>
        <w:spacing w:after="0" w:line="207" w:lineRule="auto"/>
        <w:rPr>
          <w:sz w:val="20"/>
          <w:szCs w:val="20"/>
          <w:color w:val="auto"/>
        </w:rPr>
      </w:pPr>
      <w:r>
        <w:rPr>
          <w:rFonts w:ascii="Times New Roman" w:cs="Times New Roman" w:eastAsia="Times New Roman" w:hAnsi="Times New Roman"/>
          <w:sz w:val="18"/>
          <w:szCs w:val="18"/>
          <w:color w:val="auto"/>
        </w:rPr>
        <w:t>performance, and particularly as additional measures of comparative operating performance from period to period as they remove the effects of the foregoing items, which we believe are not reflective of underlying business trends. Additionally, for the period ended September 30, 2024 and for other comparative periods, we also define the non-GAAP measure of free cash flow as the net cash provided by operating activities, adjusted for the impact of restricted cash, less the cash impact of purchases of property and equipment. We</w:t>
      </w:r>
    </w:p>
    <w:p>
      <w:pPr>
        <w:spacing w:after="0" w:line="1" w:lineRule="exact"/>
        <w:rPr>
          <w:sz w:val="20"/>
          <w:szCs w:val="20"/>
          <w:color w:val="auto"/>
        </w:rPr>
      </w:pPr>
    </w:p>
    <w:p>
      <w:pPr>
        <w:jc w:val="both"/>
        <w:ind w:right="20"/>
        <w:spacing w:after="0" w:line="208" w:lineRule="auto"/>
        <w:rPr>
          <w:sz w:val="20"/>
          <w:szCs w:val="20"/>
          <w:color w:val="auto"/>
        </w:rPr>
      </w:pPr>
      <w:r>
        <w:rPr>
          <w:rFonts w:ascii="Times New Roman" w:cs="Times New Roman" w:eastAsia="Times New Roman" w:hAnsi="Times New Roman"/>
          <w:sz w:val="18"/>
          <w:szCs w:val="18"/>
          <w:color w:val="auto"/>
        </w:rPr>
        <w:t>believe that this financial measure provides meaningful information for evaluating our overall financial performance for comparative periods as it facilitates an assessment of funds available to satisfy current and future obligations and fund acquisitions. Furthermore, the non-GAAP measure of constant currency net sales growth is calculated by translating current year net sales at the same average exchange</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rates in effect during the applicable prior year period. We believe constant currency net sales growth provides insight to the comparative increase or decrease in period net sales, in dollar and percentage terms, excluding the effects of fluctuations in foreign currency exchange rates.</w:t>
      </w:r>
    </w:p>
    <w:p>
      <w:pPr>
        <w:spacing w:after="0" w:line="131" w:lineRule="exact"/>
        <w:rPr>
          <w:sz w:val="20"/>
          <w:szCs w:val="20"/>
          <w:color w:val="auto"/>
        </w:rPr>
      </w:pPr>
    </w:p>
    <w:p>
      <w:pPr>
        <w:jc w:val="both"/>
        <w:ind w:right="20"/>
        <w:spacing w:after="0" w:line="236" w:lineRule="auto"/>
        <w:rPr>
          <w:sz w:val="20"/>
          <w:szCs w:val="20"/>
          <w:color w:val="auto"/>
        </w:rPr>
      </w:pPr>
      <w:r>
        <w:rPr>
          <w:rFonts w:ascii="Times New Roman" w:cs="Times New Roman" w:eastAsia="Times New Roman" w:hAnsi="Times New Roman"/>
          <w:sz w:val="17"/>
          <w:szCs w:val="17"/>
          <w:color w:val="auto"/>
        </w:rPr>
        <w:t>Non-GAAP adjusted EBITDA, non-GAAP net income, non-GAAP diluted earnings per share, non-GAAP gross profit, free cash flow and constant currency net sales growth are not calculated in conformity with U.S. GAAP. Non-GAAP financial measures have limitations</w:t>
      </w:r>
    </w:p>
    <w:p>
      <w:pPr>
        <w:jc w:val="both"/>
        <w:ind w:right="20"/>
        <w:spacing w:after="0" w:line="208" w:lineRule="auto"/>
        <w:rPr>
          <w:sz w:val="20"/>
          <w:szCs w:val="20"/>
          <w:color w:val="auto"/>
        </w:rPr>
      </w:pPr>
      <w:r>
        <w:rPr>
          <w:rFonts w:ascii="Times New Roman" w:cs="Times New Roman" w:eastAsia="Times New Roman" w:hAnsi="Times New Roman"/>
          <w:sz w:val="18"/>
          <w:szCs w:val="18"/>
          <w:color w:val="auto"/>
        </w:rPr>
        <w:t>as analytical tools and should not be considered in isolation or as a substitute for financial measures prepared in accordance with U.S. GAAP. These measures do not include certain expenses that may be necessary to evaluate our liquidity or operating results. Our definitions of non-GAAP adjusted EBITDA, non-GAAP net income, non-GAAP diluted earnings per share, non-GAAP gross profit, free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flow and constant currency net sales growth may differ from that of other companies and therefore may not be comparable.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111760</wp:posOffset>
            </wp:positionV>
            <wp:extent cx="6351905" cy="508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351905" cy="50800"/>
                    </a:xfrm>
                    <a:prstGeom prst="rect">
                      <a:avLst/>
                    </a:prstGeom>
                    <a:noFill/>
                  </pic:spPr>
                </pic:pic>
              </a:graphicData>
            </a:graphic>
          </wp:anchor>
        </w:drawing>
      </w:r>
    </w:p>
    <w:p>
      <w:pPr>
        <w:sectPr>
          <w:pgSz w:w="11900" w:h="16838" w:orient="portrait"/>
          <w:cols w:equalWidth="0" w:num="1">
            <w:col w:w="9940"/>
          </w:cols>
          <w:pgMar w:left="980" w:top="104" w:right="9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Safe Harbor Statements</w:t>
      </w:r>
    </w:p>
    <w:p>
      <w:pPr>
        <w:spacing w:after="0" w:line="162" w:lineRule="exact"/>
        <w:rPr>
          <w:sz w:val="20"/>
          <w:szCs w:val="20"/>
          <w:color w:val="auto"/>
        </w:rPr>
      </w:pPr>
    </w:p>
    <w:p>
      <w:pPr>
        <w:jc w:val="both"/>
        <w:ind w:right="20"/>
        <w:spacing w:after="0" w:line="216" w:lineRule="auto"/>
        <w:rPr>
          <w:sz w:val="20"/>
          <w:szCs w:val="20"/>
          <w:color w:val="auto"/>
        </w:rPr>
      </w:pPr>
      <w:r>
        <w:rPr>
          <w:rFonts w:ascii="Times New Roman" w:cs="Times New Roman" w:eastAsia="Times New Roman" w:hAnsi="Times New Roman"/>
          <w:sz w:val="18"/>
          <w:szCs w:val="18"/>
          <w:color w:val="auto"/>
        </w:rPr>
        <w:t>All statements included in this press release other than statements of historical fact are forward-looking statements and may be identified by their use of words such as “believe,” “may,” “might,” “could,” “will,” “aim,” “estimate,” “continue,” “anticipate,” “intend,” “expect,” “plan” and other similar terms. These forward-looking statements are based on our current assumptions, expectations and estimates of</w:t>
      </w:r>
    </w:p>
    <w:p>
      <w:pPr>
        <w:spacing w:after="0" w:line="1" w:lineRule="exact"/>
        <w:rPr>
          <w:sz w:val="20"/>
          <w:szCs w:val="20"/>
          <w:color w:val="auto"/>
        </w:rPr>
      </w:pPr>
    </w:p>
    <w:p>
      <w:pPr>
        <w:jc w:val="both"/>
        <w:ind w:right="20"/>
        <w:spacing w:after="0" w:line="208" w:lineRule="auto"/>
        <w:rPr>
          <w:sz w:val="20"/>
          <w:szCs w:val="20"/>
          <w:color w:val="auto"/>
        </w:rPr>
      </w:pPr>
      <w:r>
        <w:rPr>
          <w:rFonts w:ascii="Times New Roman" w:cs="Times New Roman" w:eastAsia="Times New Roman" w:hAnsi="Times New Roman"/>
          <w:sz w:val="18"/>
          <w:szCs w:val="18"/>
          <w:color w:val="auto"/>
        </w:rPr>
        <w:t>future events and trends. Forward-looking statements are only predictions and are subject to many risks, uncertainties and other factors that may affect our businesses and operations and could cause actual results to differ materially from those predicted. These risks and uncertainties include, but are not limited to, the risks and costs associated with the integration of the NuVasive business and our ability to</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successfully integrate and achieve anticipated synergies with the integration, health epidemics, pandemics and similar outbreaks, factors affecting our quarterly results, our ability to manage our growth, our ability to sustain our profitability, demand for our products, our ability to compete successfully (including without limitation our ability to convince surgeons to use our products and our ability to attract</w:t>
      </w:r>
    </w:p>
    <w:p>
      <w:pPr>
        <w:spacing w:after="0" w:line="2" w:lineRule="exact"/>
        <w:rPr>
          <w:sz w:val="20"/>
          <w:szCs w:val="20"/>
          <w:color w:val="auto"/>
        </w:rPr>
      </w:pPr>
    </w:p>
    <w:p>
      <w:pPr>
        <w:jc w:val="both"/>
        <w:ind w:right="20"/>
        <w:spacing w:after="0" w:line="208" w:lineRule="auto"/>
        <w:rPr>
          <w:sz w:val="20"/>
          <w:szCs w:val="20"/>
          <w:color w:val="auto"/>
        </w:rPr>
      </w:pPr>
      <w:r>
        <w:rPr>
          <w:rFonts w:ascii="Times New Roman" w:cs="Times New Roman" w:eastAsia="Times New Roman" w:hAnsi="Times New Roman"/>
          <w:sz w:val="18"/>
          <w:szCs w:val="18"/>
          <w:color w:val="auto"/>
        </w:rPr>
        <w:t>and retain sales and other personnel), our ability to rapidly develop and introduce new products, our ability to develop and execute on successful business strategies, our ability to comply with laws and regulations that are or may become applicable to our businesses, our ability to safeguard our intellectual property, our success in defending legal proceedings brought against us, trends in the medical device</w:t>
      </w:r>
    </w:p>
    <w:p>
      <w:pPr>
        <w:spacing w:after="0" w:line="2" w:lineRule="exact"/>
        <w:rPr>
          <w:sz w:val="20"/>
          <w:szCs w:val="20"/>
          <w:color w:val="auto"/>
        </w:rPr>
      </w:pPr>
    </w:p>
    <w:p>
      <w:pPr>
        <w:jc w:val="both"/>
        <w:ind w:right="20"/>
        <w:spacing w:after="0" w:line="208" w:lineRule="auto"/>
        <w:rPr>
          <w:sz w:val="20"/>
          <w:szCs w:val="20"/>
          <w:color w:val="auto"/>
        </w:rPr>
      </w:pPr>
      <w:r>
        <w:rPr>
          <w:rFonts w:ascii="Times New Roman" w:cs="Times New Roman" w:eastAsia="Times New Roman" w:hAnsi="Times New Roman"/>
          <w:sz w:val="18"/>
          <w:szCs w:val="18"/>
          <w:color w:val="auto"/>
        </w:rPr>
        <w:t>industry, general economic conditions, and other risks. For a discussion of these and other risks, uncertainties and other factors that could affect our results, you should refer to the disclosure contained in our most recent annual report on Form 10-K filed with the U.S. Securities and Exchange Commission, including the sections labeled “Risk Factors” and “Cautionary Note Concerning Forward-Looking</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Statements,” and in our Forms 10-Q, Forms 8-K and other filings with the U.S. Securities and Exchange Commission. These documents are available at www.sec.gov. Moreover, we operate in an evolving environment. New risk factors and uncertainties emerge from time to time and it is not possible for us to predict all risk factors and uncertainties, nor can we assess the impact of all factors on our business or</w:t>
      </w:r>
    </w:p>
    <w:p>
      <w:pPr>
        <w:spacing w:after="0" w:line="2" w:lineRule="exact"/>
        <w:rPr>
          <w:sz w:val="20"/>
          <w:szCs w:val="20"/>
          <w:color w:val="auto"/>
        </w:rPr>
      </w:pPr>
    </w:p>
    <w:p>
      <w:pPr>
        <w:jc w:val="both"/>
        <w:ind w:right="20"/>
        <w:spacing w:after="0" w:line="208" w:lineRule="auto"/>
        <w:rPr>
          <w:sz w:val="20"/>
          <w:szCs w:val="20"/>
          <w:color w:val="auto"/>
        </w:rPr>
      </w:pPr>
      <w:r>
        <w:rPr>
          <w:rFonts w:ascii="Times New Roman" w:cs="Times New Roman" w:eastAsia="Times New Roman" w:hAnsi="Times New Roman"/>
          <w:sz w:val="18"/>
          <w:szCs w:val="18"/>
          <w:color w:val="auto"/>
        </w:rPr>
        <w:t>the extent to which any factor, or combination of factors, may cause actual results to differ materially from those contained in any forward-looking statements. Given these risks and uncertainties, readers are cautioned not to place undue reliance on any forward-looking statements. Forward-looking statements contained in this press release speak only as of the date of this press release. We</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undertake no obligation to update any forward-looking statements as a result of new information, events or circumstances or other factors arising or coming to our attention after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107315</wp:posOffset>
            </wp:positionV>
            <wp:extent cx="6351905" cy="508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351905" cy="50800"/>
                    </a:xfrm>
                    <a:prstGeom prst="rect">
                      <a:avLst/>
                    </a:prstGeom>
                    <a:noFill/>
                  </pic:spPr>
                </pic:pic>
              </a:graphicData>
            </a:graphic>
          </wp:anchor>
        </w:drawing>
      </w:r>
    </w:p>
    <w:p>
      <w:pPr>
        <w:sectPr>
          <w:pgSz w:w="11900" w:h="16838" w:orient="portrait"/>
          <w:cols w:equalWidth="0" w:num="1">
            <w:col w:w="9940"/>
          </w:cols>
          <w:pgMar w:left="980" w:top="104" w:right="979" w:bottom="1440" w:gutter="0" w:footer="0" w:header="0"/>
        </w:sectPr>
      </w:pPr>
    </w:p>
    <w:bookmarkStart w:id="7" w:name="page8"/>
    <w:bookmarkEnd w:id="7"/>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GLOBUS MEDICAL, INC. AND SUBSIDIARIES</w:t>
      </w:r>
    </w:p>
    <w:p>
      <w:pPr>
        <w:jc w:val="center"/>
        <w:ind w:right="40"/>
        <w:spacing w:after="0" w:line="219" w:lineRule="auto"/>
        <w:rPr>
          <w:sz w:val="20"/>
          <w:szCs w:val="20"/>
          <w:color w:val="auto"/>
        </w:rPr>
      </w:pPr>
      <w:r>
        <w:rPr>
          <w:rFonts w:ascii="Times New Roman" w:cs="Times New Roman" w:eastAsia="Times New Roman" w:hAnsi="Times New Roman"/>
          <w:sz w:val="18"/>
          <w:szCs w:val="18"/>
          <w:b w:val="1"/>
          <w:bCs w:val="1"/>
          <w:color w:val="auto"/>
        </w:rPr>
        <w:t>CONDENSED CONSOLIDATED STATEMENTS OF INCOME</w:t>
      </w: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60" w:type="dxa"/>
            <w:vAlign w:val="bottom"/>
            <w:gridSpan w:val="5"/>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6"/>
                <w:szCs w:val="16"/>
                <w:color w:val="auto"/>
              </w:rPr>
            </w:pPr>
          </w:p>
        </w:tc>
        <w:tc>
          <w:tcPr>
            <w:tcW w:w="210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66"/>
        </w:trPr>
        <w:tc>
          <w:tcPr>
            <w:tcW w:w="5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960" w:type="dxa"/>
            <w:vAlign w:val="bottom"/>
            <w:gridSpan w:val="5"/>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60" w:type="dxa"/>
            <w:vAlign w:val="bottom"/>
          </w:tcPr>
          <w:p>
            <w:pPr>
              <w:spacing w:after="0"/>
              <w:rPr>
                <w:sz w:val="23"/>
                <w:szCs w:val="23"/>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10"/>
        </w:trPr>
        <w:tc>
          <w:tcPr>
            <w:tcW w:w="5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per share amounts)</w:t>
            </w:r>
          </w:p>
        </w:tc>
        <w:tc>
          <w:tcPr>
            <w:tcW w:w="24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0" w:type="dxa"/>
            <w:vAlign w:val="bottom"/>
          </w:tcPr>
          <w:p>
            <w:pPr>
              <w:spacing w:after="0"/>
              <w:rPr>
                <w:sz w:val="18"/>
                <w:szCs w:val="18"/>
                <w:color w:val="auto"/>
              </w:rPr>
            </w:pPr>
          </w:p>
        </w:tc>
      </w:tr>
      <w:tr>
        <w:trPr>
          <w:trHeight w:val="250"/>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625,705</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383,639</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1,862,062</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951,942</w:t>
            </w:r>
          </w:p>
        </w:tc>
        <w:tc>
          <w:tcPr>
            <w:tcW w:w="20" w:type="dxa"/>
            <w:vAlign w:val="bottom"/>
          </w:tcPr>
          <w:p>
            <w:pPr>
              <w:spacing w:after="0"/>
              <w:rPr>
                <w:sz w:val="21"/>
                <w:szCs w:val="21"/>
                <w:color w:val="auto"/>
              </w:rPr>
            </w:pPr>
          </w:p>
        </w:tc>
      </w:tr>
      <w:tr>
        <w:trPr>
          <w:trHeight w:val="270"/>
        </w:trPr>
        <w:tc>
          <w:tcPr>
            <w:tcW w:w="5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Cost of Sales and Operating expenses:</w:t>
            </w:r>
          </w:p>
        </w:tc>
        <w:tc>
          <w:tcPr>
            <w:tcW w:w="2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70"/>
        </w:trPr>
        <w:tc>
          <w:tcPr>
            <w:tcW w:w="5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Cost of sales (exclusive of amortization of intangibles)</w:t>
            </w:r>
          </w:p>
        </w:tc>
        <w:tc>
          <w:tcPr>
            <w:tcW w:w="24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270,515</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135,390</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772,042</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282,688</w:t>
            </w:r>
          </w:p>
        </w:tc>
        <w:tc>
          <w:tcPr>
            <w:tcW w:w="20" w:type="dxa"/>
            <w:vAlign w:val="bottom"/>
          </w:tcPr>
          <w:p>
            <w:pPr>
              <w:spacing w:after="0"/>
              <w:rPr>
                <w:sz w:val="23"/>
                <w:szCs w:val="23"/>
                <w:color w:val="auto"/>
              </w:rPr>
            </w:pPr>
          </w:p>
        </w:tc>
      </w:tr>
      <w:tr>
        <w:trPr>
          <w:trHeight w:val="270"/>
        </w:trPr>
        <w:tc>
          <w:tcPr>
            <w:tcW w:w="5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35,380</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29,329</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130,346</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71,758</w:t>
            </w:r>
          </w:p>
        </w:tc>
        <w:tc>
          <w:tcPr>
            <w:tcW w:w="20" w:type="dxa"/>
            <w:vAlign w:val="bottom"/>
          </w:tcPr>
          <w:p>
            <w:pPr>
              <w:spacing w:after="0"/>
              <w:rPr>
                <w:sz w:val="23"/>
                <w:szCs w:val="23"/>
                <w:color w:val="auto"/>
              </w:rPr>
            </w:pPr>
          </w:p>
        </w:tc>
      </w:tr>
      <w:tr>
        <w:trPr>
          <w:trHeight w:val="270"/>
        </w:trPr>
        <w:tc>
          <w:tcPr>
            <w:tcW w:w="5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4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240,738</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156,206</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727,567</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398,691</w:t>
            </w:r>
          </w:p>
        </w:tc>
        <w:tc>
          <w:tcPr>
            <w:tcW w:w="20" w:type="dxa"/>
            <w:vAlign w:val="bottom"/>
          </w:tcPr>
          <w:p>
            <w:pPr>
              <w:spacing w:after="0"/>
              <w:rPr>
                <w:sz w:val="23"/>
                <w:szCs w:val="23"/>
                <w:color w:val="auto"/>
              </w:rPr>
            </w:pPr>
          </w:p>
        </w:tc>
      </w:tr>
      <w:tr>
        <w:trPr>
          <w:trHeight w:val="270"/>
        </w:trPr>
        <w:tc>
          <w:tcPr>
            <w:tcW w:w="5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Provision for litigation, net</w:t>
            </w:r>
          </w:p>
        </w:tc>
        <w:tc>
          <w:tcPr>
            <w:tcW w:w="240" w:type="dxa"/>
            <w:vAlign w:val="bottom"/>
          </w:tcPr>
          <w:p>
            <w:pPr>
              <w:spacing w:after="0"/>
              <w:rPr>
                <w:sz w:val="23"/>
                <w:szCs w:val="2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(676)</w:t>
            </w:r>
          </w:p>
        </w:tc>
        <w:tc>
          <w:tcPr>
            <w:tcW w:w="24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2,924</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628</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20" w:type="dxa"/>
            <w:vAlign w:val="bottom"/>
          </w:tcPr>
          <w:p>
            <w:pPr>
              <w:spacing w:after="0"/>
              <w:rPr>
                <w:sz w:val="23"/>
                <w:szCs w:val="23"/>
                <w:color w:val="auto"/>
              </w:rPr>
            </w:pPr>
          </w:p>
        </w:tc>
      </w:tr>
      <w:tr>
        <w:trPr>
          <w:trHeight w:val="270"/>
        </w:trPr>
        <w:tc>
          <w:tcPr>
            <w:tcW w:w="5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24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30,076</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13,761</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89,461</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22,909</w:t>
            </w:r>
          </w:p>
        </w:tc>
        <w:tc>
          <w:tcPr>
            <w:tcW w:w="20" w:type="dxa"/>
            <w:vAlign w:val="bottom"/>
          </w:tcPr>
          <w:p>
            <w:pPr>
              <w:spacing w:after="0"/>
              <w:rPr>
                <w:sz w:val="23"/>
                <w:szCs w:val="23"/>
                <w:color w:val="auto"/>
              </w:rPr>
            </w:pPr>
          </w:p>
        </w:tc>
      </w:tr>
      <w:tr>
        <w:trPr>
          <w:trHeight w:val="270"/>
        </w:trPr>
        <w:tc>
          <w:tcPr>
            <w:tcW w:w="5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Acquisition-related costs</w:t>
            </w:r>
          </w:p>
        </w:tc>
        <w:tc>
          <w:tcPr>
            <w:tcW w:w="240" w:type="dxa"/>
            <w:vAlign w:val="bottom"/>
          </w:tcPr>
          <w:p>
            <w:pPr>
              <w:spacing w:after="0"/>
              <w:rPr>
                <w:sz w:val="23"/>
                <w:szCs w:val="2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(3,617)</w:t>
            </w:r>
          </w:p>
        </w:tc>
        <w:tc>
          <w:tcPr>
            <w:tcW w:w="24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45,625</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12,535</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52,693</w:t>
            </w:r>
          </w:p>
        </w:tc>
        <w:tc>
          <w:tcPr>
            <w:tcW w:w="20" w:type="dxa"/>
            <w:vAlign w:val="bottom"/>
          </w:tcPr>
          <w:p>
            <w:pPr>
              <w:spacing w:after="0"/>
              <w:rPr>
                <w:sz w:val="23"/>
                <w:szCs w:val="23"/>
                <w:color w:val="auto"/>
              </w:rPr>
            </w:pPr>
          </w:p>
        </w:tc>
      </w:tr>
      <w:tr>
        <w:trPr>
          <w:trHeight w:val="270"/>
        </w:trPr>
        <w:tc>
          <w:tcPr>
            <w:tcW w:w="5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Restructuring costs</w:t>
            </w:r>
          </w:p>
        </w:tc>
        <w:tc>
          <w:tcPr>
            <w:tcW w:w="24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5,191</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23,766</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3"/>
                <w:szCs w:val="23"/>
                <w:color w:val="auto"/>
              </w:rPr>
            </w:pPr>
          </w:p>
        </w:tc>
      </w:tr>
      <w:tr>
        <w:trPr>
          <w:trHeight w:val="250"/>
        </w:trPr>
        <w:tc>
          <w:tcPr>
            <w:tcW w:w="5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income/(loss)</w:t>
            </w:r>
          </w:p>
        </w:tc>
        <w:tc>
          <w:tcPr>
            <w:tcW w:w="24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48,098</w:t>
            </w:r>
          </w:p>
        </w:tc>
        <w:tc>
          <w:tcPr>
            <w:tcW w:w="12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105,717</w:t>
            </w:r>
          </w:p>
        </w:tc>
        <w:tc>
          <w:tcPr>
            <w:tcW w:w="12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123,019</w:t>
            </w:r>
          </w:p>
        </w:tc>
        <w:tc>
          <w:tcPr>
            <w:tcW w:w="20" w:type="dxa"/>
            <w:vAlign w:val="bottom"/>
          </w:tcPr>
          <w:p>
            <w:pPr>
              <w:spacing w:after="0"/>
              <w:rPr>
                <w:sz w:val="21"/>
                <w:szCs w:val="21"/>
                <w:color w:val="auto"/>
              </w:rPr>
            </w:pPr>
          </w:p>
        </w:tc>
      </w:tr>
      <w:tr>
        <w:trPr>
          <w:trHeight w:val="270"/>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income/(expense), net</w:t>
            </w:r>
          </w:p>
        </w:tc>
        <w:tc>
          <w:tcPr>
            <w:tcW w:w="24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r>
      <w:tr>
        <w:trPr>
          <w:trHeight w:val="270"/>
        </w:trPr>
        <w:tc>
          <w:tcPr>
            <w:tcW w:w="5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income/(expense), net</w:t>
            </w:r>
          </w:p>
        </w:tc>
        <w:tc>
          <w:tcPr>
            <w:tcW w:w="240" w:type="dxa"/>
            <w:vAlign w:val="bottom"/>
          </w:tcPr>
          <w:p>
            <w:pPr>
              <w:spacing w:after="0"/>
              <w:rPr>
                <w:sz w:val="23"/>
                <w:szCs w:val="2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(775)</w:t>
            </w:r>
          </w:p>
        </w:tc>
        <w:tc>
          <w:tcPr>
            <w:tcW w:w="24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7,920</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(5,004)</w:t>
            </w:r>
          </w:p>
        </w:tc>
        <w:tc>
          <w:tcPr>
            <w:tcW w:w="36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22,711</w:t>
            </w:r>
          </w:p>
        </w:tc>
        <w:tc>
          <w:tcPr>
            <w:tcW w:w="20" w:type="dxa"/>
            <w:vAlign w:val="bottom"/>
          </w:tcPr>
          <w:p>
            <w:pPr>
              <w:spacing w:after="0"/>
              <w:rPr>
                <w:sz w:val="23"/>
                <w:szCs w:val="23"/>
                <w:color w:val="auto"/>
              </w:rPr>
            </w:pPr>
          </w:p>
        </w:tc>
      </w:tr>
      <w:tr>
        <w:trPr>
          <w:trHeight w:val="270"/>
        </w:trPr>
        <w:tc>
          <w:tcPr>
            <w:tcW w:w="5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Foreign currency transaction gain/(loss)</w:t>
            </w:r>
          </w:p>
        </w:tc>
        <w:tc>
          <w:tcPr>
            <w:tcW w:w="24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10,279</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(5,314)</w:t>
            </w:r>
          </w:p>
        </w:tc>
        <w:tc>
          <w:tcPr>
            <w:tcW w:w="26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(5,795)</w:t>
            </w:r>
          </w:p>
        </w:tc>
        <w:tc>
          <w:tcPr>
            <w:tcW w:w="36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(5,649)</w:t>
            </w:r>
          </w:p>
        </w:tc>
        <w:tc>
          <w:tcPr>
            <w:tcW w:w="20" w:type="dxa"/>
            <w:vAlign w:val="bottom"/>
          </w:tcPr>
          <w:p>
            <w:pPr>
              <w:spacing w:after="0"/>
              <w:rPr>
                <w:sz w:val="23"/>
                <w:szCs w:val="23"/>
                <w:color w:val="auto"/>
              </w:rPr>
            </w:pPr>
          </w:p>
        </w:tc>
      </w:tr>
      <w:tr>
        <w:trPr>
          <w:trHeight w:val="270"/>
        </w:trPr>
        <w:tc>
          <w:tcPr>
            <w:tcW w:w="5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income/(expense)</w:t>
            </w:r>
          </w:p>
        </w:tc>
        <w:tc>
          <w:tcPr>
            <w:tcW w:w="240" w:type="dxa"/>
            <w:vAlign w:val="bottom"/>
          </w:tcPr>
          <w:p>
            <w:pPr>
              <w:spacing w:after="0"/>
              <w:rPr>
                <w:sz w:val="23"/>
                <w:szCs w:val="2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(570)</w:t>
            </w:r>
          </w:p>
        </w:tc>
        <w:tc>
          <w:tcPr>
            <w:tcW w:w="240" w:type="dxa"/>
            <w:vAlign w:val="bottom"/>
          </w:tcPr>
          <w:p>
            <w:pPr>
              <w:spacing w:after="0"/>
              <w:rPr>
                <w:sz w:val="23"/>
                <w:szCs w:val="2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(475)</w:t>
            </w: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1,137</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20" w:type="dxa"/>
            <w:vAlign w:val="bottom"/>
          </w:tcPr>
          <w:p>
            <w:pPr>
              <w:spacing w:after="0"/>
              <w:rPr>
                <w:sz w:val="23"/>
                <w:szCs w:val="23"/>
                <w:color w:val="auto"/>
              </w:rPr>
            </w:pPr>
          </w:p>
        </w:tc>
      </w:tr>
      <w:tr>
        <w:trPr>
          <w:trHeight w:val="250"/>
        </w:trPr>
        <w:tc>
          <w:tcPr>
            <w:tcW w:w="540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Total other income/(expense), net</w:t>
            </w: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8,934</w:t>
            </w:r>
          </w:p>
        </w:tc>
        <w:tc>
          <w:tcPr>
            <w:tcW w:w="12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2,131</w:t>
            </w:r>
          </w:p>
        </w:tc>
        <w:tc>
          <w:tcPr>
            <w:tcW w:w="12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(9,662)</w:t>
            </w:r>
          </w:p>
        </w:tc>
        <w:tc>
          <w:tcPr>
            <w:tcW w:w="120" w:type="dxa"/>
            <w:vAlign w:val="bottom"/>
            <w:tcBorders>
              <w:top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spacing w:after="0"/>
              <w:rPr>
                <w:sz w:val="21"/>
                <w:szCs w:val="21"/>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17,380</w:t>
            </w:r>
          </w:p>
        </w:tc>
        <w:tc>
          <w:tcPr>
            <w:tcW w:w="20" w:type="dxa"/>
            <w:vAlign w:val="bottom"/>
          </w:tcPr>
          <w:p>
            <w:pPr>
              <w:spacing w:after="0"/>
              <w:rPr>
                <w:sz w:val="21"/>
                <w:szCs w:val="21"/>
                <w:color w:val="auto"/>
              </w:rPr>
            </w:pPr>
          </w:p>
        </w:tc>
      </w:tr>
      <w:tr>
        <w:trPr>
          <w:trHeight w:val="250"/>
        </w:trPr>
        <w:tc>
          <w:tcPr>
            <w:tcW w:w="54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Income/(loss) before income taxes</w:t>
            </w:r>
          </w:p>
        </w:tc>
        <w:tc>
          <w:tcPr>
            <w:tcW w:w="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57,032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96,055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140,399</w:t>
            </w:r>
          </w:p>
        </w:tc>
        <w:tc>
          <w:tcPr>
            <w:tcW w:w="20" w:type="dxa"/>
            <w:vAlign w:val="bottom"/>
          </w:tcPr>
          <w:p>
            <w:pPr>
              <w:spacing w:after="0"/>
              <w:rPr>
                <w:sz w:val="21"/>
                <w:szCs w:val="21"/>
                <w:color w:val="auto"/>
              </w:rPr>
            </w:pPr>
          </w:p>
        </w:tc>
      </w:tr>
      <w:tr>
        <w:trPr>
          <w:trHeight w:val="270"/>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provision/(benefit)</w:t>
            </w:r>
          </w:p>
        </w:tc>
        <w:tc>
          <w:tcPr>
            <w:tcW w:w="24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5,196</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1,537</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19,576</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32,560</w:t>
            </w:r>
          </w:p>
        </w:tc>
        <w:tc>
          <w:tcPr>
            <w:tcW w:w="20" w:type="dxa"/>
            <w:vAlign w:val="bottom"/>
          </w:tcPr>
          <w:p>
            <w:pPr>
              <w:spacing w:after="0"/>
              <w:rPr>
                <w:sz w:val="23"/>
                <w:szCs w:val="23"/>
                <w:color w:val="auto"/>
              </w:rPr>
            </w:pPr>
          </w:p>
        </w:tc>
      </w:tr>
      <w:tr>
        <w:trPr>
          <w:trHeight w:val="244"/>
        </w:trPr>
        <w:tc>
          <w:tcPr>
            <w:tcW w:w="5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income/(loss)</w:t>
            </w:r>
          </w:p>
        </w:tc>
        <w:tc>
          <w:tcPr>
            <w:tcW w:w="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51,836</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76,479</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107,839</w:t>
            </w:r>
          </w:p>
        </w:tc>
        <w:tc>
          <w:tcPr>
            <w:tcW w:w="20" w:type="dxa"/>
            <w:vAlign w:val="bottom"/>
          </w:tcPr>
          <w:p>
            <w:pPr>
              <w:spacing w:after="0"/>
              <w:rPr>
                <w:sz w:val="21"/>
                <w:szCs w:val="21"/>
                <w:color w:val="auto"/>
              </w:rPr>
            </w:pPr>
          </w:p>
        </w:tc>
      </w:tr>
      <w:tr>
        <w:trPr>
          <w:trHeight w:val="256"/>
        </w:trPr>
        <w:tc>
          <w:tcPr>
            <w:tcW w:w="54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20" w:type="dxa"/>
            <w:vAlign w:val="bottom"/>
          </w:tcPr>
          <w:p>
            <w:pPr>
              <w:spacing w:after="0"/>
              <w:rPr>
                <w:sz w:val="22"/>
                <w:szCs w:val="22"/>
                <w:color w:val="auto"/>
              </w:rPr>
            </w:pPr>
          </w:p>
        </w:tc>
      </w:tr>
      <w:tr>
        <w:trPr>
          <w:trHeight w:val="270"/>
        </w:trPr>
        <w:tc>
          <w:tcPr>
            <w:tcW w:w="5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income/(loss), net of tax:</w:t>
            </w:r>
          </w:p>
        </w:tc>
        <w:tc>
          <w:tcPr>
            <w:tcW w:w="2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70"/>
        </w:trPr>
        <w:tc>
          <w:tcPr>
            <w:tcW w:w="5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Unrealized gain/(loss) on marketable securities</w:t>
            </w:r>
          </w:p>
        </w:tc>
        <w:tc>
          <w:tcPr>
            <w:tcW w:w="24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912</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2,641</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1,783</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6,979</w:t>
            </w:r>
          </w:p>
        </w:tc>
        <w:tc>
          <w:tcPr>
            <w:tcW w:w="20" w:type="dxa"/>
            <w:vAlign w:val="bottom"/>
          </w:tcPr>
          <w:p>
            <w:pPr>
              <w:spacing w:after="0"/>
              <w:rPr>
                <w:sz w:val="23"/>
                <w:szCs w:val="23"/>
                <w:color w:val="auto"/>
              </w:rPr>
            </w:pPr>
          </w:p>
        </w:tc>
      </w:tr>
      <w:tr>
        <w:trPr>
          <w:trHeight w:val="270"/>
        </w:trPr>
        <w:tc>
          <w:tcPr>
            <w:tcW w:w="5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Foreign currency translation gain/(loss)</w:t>
            </w:r>
          </w:p>
        </w:tc>
        <w:tc>
          <w:tcPr>
            <w:tcW w:w="24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3,976</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(2,310)</w:t>
            </w: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1,446</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(1,085)</w:t>
            </w:r>
          </w:p>
        </w:tc>
      </w:tr>
      <w:tr>
        <w:trPr>
          <w:trHeight w:val="250"/>
        </w:trPr>
        <w:tc>
          <w:tcPr>
            <w:tcW w:w="5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comprehensive income/(loss), net of tax</w:t>
            </w: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4,888</w:t>
            </w:r>
          </w:p>
        </w:tc>
        <w:tc>
          <w:tcPr>
            <w:tcW w:w="12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2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3,229</w:t>
            </w:r>
          </w:p>
        </w:tc>
        <w:tc>
          <w:tcPr>
            <w:tcW w:w="120" w:type="dxa"/>
            <w:vAlign w:val="bottom"/>
            <w:tcBorders>
              <w:top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spacing w:after="0"/>
              <w:rPr>
                <w:sz w:val="21"/>
                <w:szCs w:val="21"/>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5,894</w:t>
            </w:r>
          </w:p>
        </w:tc>
        <w:tc>
          <w:tcPr>
            <w:tcW w:w="20" w:type="dxa"/>
            <w:vAlign w:val="bottom"/>
          </w:tcPr>
          <w:p>
            <w:pPr>
              <w:spacing w:after="0"/>
              <w:rPr>
                <w:sz w:val="21"/>
                <w:szCs w:val="21"/>
                <w:color w:val="auto"/>
              </w:rPr>
            </w:pPr>
          </w:p>
        </w:tc>
      </w:tr>
      <w:tr>
        <w:trPr>
          <w:trHeight w:val="244"/>
        </w:trPr>
        <w:tc>
          <w:tcPr>
            <w:tcW w:w="5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Comprehensive income/(loss)</w:t>
            </w:r>
          </w:p>
        </w:tc>
        <w:tc>
          <w:tcPr>
            <w:tcW w:w="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56,724</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1,329</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79,708</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113,733</w:t>
            </w:r>
          </w:p>
        </w:tc>
        <w:tc>
          <w:tcPr>
            <w:tcW w:w="20" w:type="dxa"/>
            <w:vAlign w:val="bottom"/>
          </w:tcPr>
          <w:p>
            <w:pPr>
              <w:spacing w:after="0"/>
              <w:rPr>
                <w:sz w:val="21"/>
                <w:szCs w:val="21"/>
                <w:color w:val="auto"/>
              </w:rPr>
            </w:pPr>
          </w:p>
        </w:tc>
      </w:tr>
      <w:tr>
        <w:trPr>
          <w:trHeight w:val="256"/>
        </w:trPr>
        <w:tc>
          <w:tcPr>
            <w:tcW w:w="54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20" w:type="dxa"/>
            <w:vAlign w:val="bottom"/>
          </w:tcPr>
          <w:p>
            <w:pPr>
              <w:spacing w:after="0"/>
              <w:rPr>
                <w:sz w:val="22"/>
                <w:szCs w:val="22"/>
                <w:color w:val="auto"/>
              </w:rPr>
            </w:pPr>
          </w:p>
        </w:tc>
      </w:tr>
      <w:tr>
        <w:trPr>
          <w:trHeight w:val="270"/>
        </w:trPr>
        <w:tc>
          <w:tcPr>
            <w:tcW w:w="5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Earnings per share:</w:t>
            </w:r>
          </w:p>
        </w:tc>
        <w:tc>
          <w:tcPr>
            <w:tcW w:w="2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64"/>
        </w:trPr>
        <w:tc>
          <w:tcPr>
            <w:tcW w:w="54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0.38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0.56</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0" w:type="dxa"/>
            <w:vAlign w:val="bottom"/>
          </w:tcPr>
          <w:p>
            <w:pPr>
              <w:spacing w:after="0"/>
              <w:rPr>
                <w:sz w:val="22"/>
                <w:szCs w:val="22"/>
                <w:color w:val="auto"/>
              </w:rPr>
            </w:pPr>
          </w:p>
        </w:tc>
      </w:tr>
      <w:tr>
        <w:trPr>
          <w:trHeight w:val="250"/>
        </w:trPr>
        <w:tc>
          <w:tcPr>
            <w:tcW w:w="54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0.38</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0.56</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0.98</w:t>
            </w:r>
          </w:p>
        </w:tc>
        <w:tc>
          <w:tcPr>
            <w:tcW w:w="20" w:type="dxa"/>
            <w:vAlign w:val="bottom"/>
          </w:tcPr>
          <w:p>
            <w:pPr>
              <w:spacing w:after="0"/>
              <w:rPr>
                <w:sz w:val="21"/>
                <w:szCs w:val="21"/>
                <w:color w:val="auto"/>
              </w:rPr>
            </w:pPr>
          </w:p>
        </w:tc>
      </w:tr>
      <w:tr>
        <w:trPr>
          <w:trHeight w:val="25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 average shares outstanding:</w:t>
            </w:r>
          </w:p>
        </w:tc>
        <w:tc>
          <w:tcPr>
            <w:tcW w:w="24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20" w:type="dxa"/>
            <w:vAlign w:val="bottom"/>
          </w:tcPr>
          <w:p>
            <w:pPr>
              <w:spacing w:after="0"/>
              <w:rPr>
                <w:sz w:val="22"/>
                <w:szCs w:val="22"/>
                <w:color w:val="auto"/>
              </w:rPr>
            </w:pPr>
          </w:p>
        </w:tc>
      </w:tr>
      <w:tr>
        <w:trPr>
          <w:trHeight w:val="263"/>
        </w:trPr>
        <w:tc>
          <w:tcPr>
            <w:tcW w:w="54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135,615</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113,537</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135,390</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104,762</w:t>
            </w:r>
          </w:p>
        </w:tc>
        <w:tc>
          <w:tcPr>
            <w:tcW w:w="20" w:type="dxa"/>
            <w:vAlign w:val="bottom"/>
          </w:tcPr>
          <w:p>
            <w:pPr>
              <w:spacing w:after="0"/>
              <w:rPr>
                <w:sz w:val="22"/>
                <w:szCs w:val="22"/>
                <w:color w:val="auto"/>
              </w:rPr>
            </w:pPr>
          </w:p>
        </w:tc>
      </w:tr>
      <w:tr>
        <w:trPr>
          <w:trHeight w:val="250"/>
        </w:trPr>
        <w:tc>
          <w:tcPr>
            <w:tcW w:w="54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138,062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115,245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137,245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110,058</w:t>
            </w:r>
          </w:p>
        </w:tc>
        <w:tc>
          <w:tcPr>
            <w:tcW w:w="20" w:type="dxa"/>
            <w:vAlign w:val="bottom"/>
          </w:tcPr>
          <w:p>
            <w:pPr>
              <w:spacing w:after="0"/>
              <w:rPr>
                <w:sz w:val="21"/>
                <w:szCs w:val="21"/>
                <w:color w:val="auto"/>
              </w:rPr>
            </w:pPr>
          </w:p>
        </w:tc>
      </w:tr>
      <w:tr>
        <w:trPr>
          <w:trHeight w:val="756"/>
        </w:trPr>
        <w:tc>
          <w:tcPr>
            <w:tcW w:w="54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r>
        <w:trPr>
          <w:trHeight w:val="20"/>
        </w:trPr>
        <w:tc>
          <w:tcPr>
            <w:tcW w:w="540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74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74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260" w:type="dxa"/>
            <w:vAlign w:val="bottom"/>
            <w:tcBorders>
              <w:bottom w:val="single" w:sz="8" w:color="EEEEEE"/>
            </w:tcBorders>
          </w:tcPr>
          <w:p>
            <w:pPr>
              <w:spacing w:after="0" w:line="20" w:lineRule="exact"/>
              <w:rPr>
                <w:sz w:val="1"/>
                <w:szCs w:val="1"/>
                <w:color w:val="auto"/>
              </w:rPr>
            </w:pPr>
          </w:p>
        </w:tc>
        <w:tc>
          <w:tcPr>
            <w:tcW w:w="90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360" w:type="dxa"/>
            <w:vAlign w:val="bottom"/>
            <w:tcBorders>
              <w:bottom w:val="single" w:sz="8" w:color="EEEEEE"/>
            </w:tcBorders>
          </w:tcPr>
          <w:p>
            <w:pPr>
              <w:spacing w:after="0" w:line="20" w:lineRule="exact"/>
              <w:rPr>
                <w:sz w:val="1"/>
                <w:szCs w:val="1"/>
                <w:color w:val="auto"/>
              </w:rPr>
            </w:pPr>
          </w:p>
        </w:tc>
        <w:tc>
          <w:tcPr>
            <w:tcW w:w="70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6302375</wp:posOffset>
            </wp:positionH>
            <wp:positionV relativeFrom="paragraph">
              <wp:posOffset>-37465</wp:posOffset>
            </wp:positionV>
            <wp:extent cx="33655" cy="508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5080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-37465</wp:posOffset>
            </wp:positionV>
            <wp:extent cx="33655" cy="508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50800"/>
                    </a:xfrm>
                    <a:prstGeom prst="rect">
                      <a:avLst/>
                    </a:prstGeom>
                    <a:noFill/>
                  </pic:spPr>
                </pic:pic>
              </a:graphicData>
            </a:graphic>
          </wp:anchor>
        </w:drawing>
      </w:r>
    </w:p>
    <w:p>
      <w:pPr>
        <w:sectPr>
          <w:pgSz w:w="11900" w:h="16838" w:orient="portrait"/>
          <w:cols w:equalWidth="0" w:num="1">
            <w:col w:w="9960"/>
          </w:cols>
          <w:pgMar w:left="980" w:top="96" w:right="959" w:bottom="1440" w:gutter="0" w:footer="0" w:header="0"/>
        </w:sectPr>
      </w:pPr>
    </w:p>
    <w:bookmarkStart w:id="8" w:name="page9"/>
    <w:bookmarkEnd w:id="8"/>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GLOBUS MEDICAL, INC. AND SUBSIDIARIES</w:t>
      </w:r>
    </w:p>
    <w:p>
      <w:pPr>
        <w:jc w:val="center"/>
        <w:ind w:right="40"/>
        <w:spacing w:after="0" w:line="219" w:lineRule="auto"/>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6"/>
                <w:szCs w:val="16"/>
                <w:color w:val="auto"/>
              </w:rPr>
            </w:pPr>
          </w:p>
        </w:tc>
        <w:tc>
          <w:tcPr>
            <w:tcW w:w="12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10"/>
        </w:trPr>
        <w:tc>
          <w:tcPr>
            <w:tcW w:w="714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share and per share values)</w:t>
            </w:r>
          </w:p>
        </w:tc>
        <w:tc>
          <w:tcPr>
            <w:tcW w:w="1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7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622,766</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467,292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Short-term marketable securities</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71,940</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50,497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 of allowances of $23,542 and $8,934, respectively</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588,047</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503,235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Inventories</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717,703</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848,135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50,924</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44,580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Income taxes receivable</w:t>
            </w: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5,149</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2,056,529</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1,915,374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 of accumulated depreciation of $505,982 and $425,695, respectively</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567,822</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586,932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 of use assets</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52,824</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Long-term marketable securities</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12,297</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842,778</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924,603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1,431,666</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1,434,540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76,643</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78,590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45,485</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10,685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71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5,086,044</w:t>
            </w:r>
          </w:p>
        </w:tc>
        <w:tc>
          <w:tcPr>
            <w:tcW w:w="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5,086,083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57,537</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255,260</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240,460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11,040</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Income taxes payable</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4,174</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convertible notes</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437,142</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Business acquisition liabilities</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32,110</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20,802</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18,369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1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818,065</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392,347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Business acquisition liabilities, net of current portion</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81,748</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86,376</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convertible notes</w:t>
            </w: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417,400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 and other tax liabilities</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7,475</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22,983</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24,596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1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1,016,647</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1,088,124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71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7"/>
                <w:szCs w:val="17"/>
                <w:color w:val="auto"/>
              </w:rPr>
              <w:t>Class A common stock; $0.001 par value. Authorized 500,000,000 shares; issued and outstanding</w:t>
            </w:r>
          </w:p>
        </w:tc>
        <w:tc>
          <w:tcPr>
            <w:tcW w:w="18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113</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113,474,233 and 113,905,565 shares at September 30, 2024 and December 31, 2023, respectively</w:t>
            </w:r>
          </w:p>
        </w:tc>
        <w:tc>
          <w:tcPr>
            <w:tcW w:w="18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7140" w:type="dxa"/>
            <w:vAlign w:val="bottom"/>
          </w:tcPr>
          <w:p>
            <w:pPr>
              <w:spacing w:after="0" w:line="149" w:lineRule="exact"/>
              <w:rPr>
                <w:sz w:val="20"/>
                <w:szCs w:val="20"/>
                <w:color w:val="auto"/>
              </w:rPr>
            </w:pPr>
            <w:r>
              <w:rPr>
                <w:rFonts w:ascii="Times New Roman" w:cs="Times New Roman" w:eastAsia="Times New Roman" w:hAnsi="Times New Roman"/>
                <w:sz w:val="17"/>
                <w:szCs w:val="17"/>
                <w:color w:val="auto"/>
              </w:rPr>
              <w:t>Class B common stock; $0.001 par value. Authorized 275,000,000 shares; issued and outstanding</w:t>
            </w:r>
          </w:p>
        </w:tc>
        <w:tc>
          <w:tcPr>
            <w:tcW w:w="180" w:type="dxa"/>
            <w:vAlign w:val="bottom"/>
          </w:tcPr>
          <w:p>
            <w:pPr>
              <w:spacing w:after="0"/>
              <w:rPr>
                <w:sz w:val="12"/>
                <w:szCs w:val="12"/>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22,430,097 and 22,430,097 shares at September 30, 2024 and December 31, 2023, respectively</w:t>
            </w:r>
          </w:p>
        </w:tc>
        <w:tc>
          <w:tcPr>
            <w:tcW w:w="18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2,949,917</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2,870,749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 income/(loss)</w:t>
            </w:r>
          </w:p>
        </w:tc>
        <w:tc>
          <w:tcPr>
            <w:tcW w:w="18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(6,963)</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1,126,308</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1,137,266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1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4,069,397</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3,997,959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5,086,044</w:t>
            </w:r>
          </w:p>
        </w:tc>
        <w:tc>
          <w:tcPr>
            <w:tcW w:w="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5,086,083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32"/>
        </w:trPr>
        <w:tc>
          <w:tcPr>
            <w:tcW w:w="71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14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108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120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6302375</wp:posOffset>
            </wp:positionH>
            <wp:positionV relativeFrom="paragraph">
              <wp:posOffset>-37465</wp:posOffset>
            </wp:positionV>
            <wp:extent cx="33655" cy="508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5080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-37465</wp:posOffset>
            </wp:positionV>
            <wp:extent cx="33655" cy="508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50800"/>
                    </a:xfrm>
                    <a:prstGeom prst="rect">
                      <a:avLst/>
                    </a:prstGeom>
                    <a:noFill/>
                  </pic:spPr>
                </pic:pic>
              </a:graphicData>
            </a:graphic>
          </wp:anchor>
        </w:drawing>
      </w:r>
    </w:p>
    <w:p>
      <w:pPr>
        <w:sectPr>
          <w:pgSz w:w="11900" w:h="16838" w:orient="portrait"/>
          <w:cols w:equalWidth="0" w:num="1">
            <w:col w:w="9960"/>
          </w:cols>
          <w:pgMar w:left="980" w:top="96" w:right="959" w:bottom="1440" w:gutter="0" w:footer="0" w:header="0"/>
        </w:sectPr>
      </w:pPr>
    </w:p>
    <w:bookmarkStart w:id="9" w:name="page10"/>
    <w:bookmarkEnd w:id="9"/>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GLOBUS MEDICAL, INC. AND SUBSIDIARIES CONDENSED CONSOLIDATED STATEMENTS OF CASH FLOWS (unaudited)</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40" w:type="dxa"/>
            <w:vAlign w:val="bottom"/>
            <w:gridSpan w:val="6"/>
          </w:tcPr>
          <w:p>
            <w:pPr>
              <w:ind w:left="40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13"/>
        </w:trPr>
        <w:tc>
          <w:tcPr>
            <w:tcW w:w="73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196"/>
        </w:trPr>
        <w:tc>
          <w:tcPr>
            <w:tcW w:w="734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7"/>
                <w:szCs w:val="17"/>
                <w:color w:val="auto"/>
              </w:rPr>
            </w:pPr>
          </w:p>
        </w:tc>
      </w:tr>
      <w:tr>
        <w:trPr>
          <w:trHeight w:val="210"/>
        </w:trPr>
        <w:tc>
          <w:tcPr>
            <w:tcW w:w="7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9"/>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76,479</w:t>
            </w:r>
          </w:p>
        </w:tc>
        <w:tc>
          <w:tcPr>
            <w:tcW w:w="6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107,839</w:t>
            </w:r>
          </w:p>
        </w:tc>
        <w:tc>
          <w:tcPr>
            <w:tcW w:w="20" w:type="dxa"/>
            <w:vAlign w:val="bottom"/>
          </w:tcPr>
          <w:p>
            <w:pPr>
              <w:spacing w:after="0"/>
              <w:rPr>
                <w:sz w:val="19"/>
                <w:szCs w:val="19"/>
                <w:color w:val="auto"/>
              </w:rPr>
            </w:pPr>
          </w:p>
        </w:tc>
      </w:tr>
      <w:tr>
        <w:trPr>
          <w:trHeight w:val="229"/>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Acquired in-process research and development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12,613</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29"/>
        </w:trPr>
        <w:tc>
          <w:tcPr>
            <w:tcW w:w="7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185,796</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73,571</w:t>
            </w:r>
          </w:p>
        </w:tc>
        <w:tc>
          <w:tcPr>
            <w:tcW w:w="20" w:type="dxa"/>
            <w:vAlign w:val="bottom"/>
          </w:tcPr>
          <w:p>
            <w:pPr>
              <w:spacing w:after="0"/>
              <w:rPr>
                <w:sz w:val="19"/>
                <w:szCs w:val="19"/>
                <w:color w:val="auto"/>
              </w:rPr>
            </w:pPr>
          </w:p>
        </w:tc>
      </w:tr>
      <w:tr>
        <w:trPr>
          <w:trHeight w:val="230"/>
        </w:trPr>
        <w:tc>
          <w:tcPr>
            <w:tcW w:w="7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Amortization of premiums on marketable securities</w:t>
            </w:r>
          </w:p>
        </w:tc>
        <w:tc>
          <w:tcPr>
            <w:tcW w:w="2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(119)</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20" w:type="dxa"/>
            <w:vAlign w:val="bottom"/>
          </w:tcPr>
          <w:p>
            <w:pPr>
              <w:spacing w:after="0"/>
              <w:rPr>
                <w:sz w:val="19"/>
                <w:szCs w:val="19"/>
                <w:color w:val="auto"/>
              </w:rPr>
            </w:pPr>
          </w:p>
        </w:tc>
      </w:tr>
      <w:tr>
        <w:trPr>
          <w:trHeight w:val="229"/>
        </w:trPr>
        <w:tc>
          <w:tcPr>
            <w:tcW w:w="7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Provision for excess and obsolete inventory</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16,194</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6,700</w:t>
            </w:r>
          </w:p>
        </w:tc>
        <w:tc>
          <w:tcPr>
            <w:tcW w:w="20" w:type="dxa"/>
            <w:vAlign w:val="bottom"/>
          </w:tcPr>
          <w:p>
            <w:pPr>
              <w:spacing w:after="0"/>
              <w:rPr>
                <w:sz w:val="19"/>
                <w:szCs w:val="19"/>
                <w:color w:val="auto"/>
              </w:rPr>
            </w:pPr>
          </w:p>
        </w:tc>
      </w:tr>
      <w:tr>
        <w:trPr>
          <w:trHeight w:val="229"/>
        </w:trPr>
        <w:tc>
          <w:tcPr>
            <w:tcW w:w="7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Amortization of inventory fair value step up</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168,097</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19,065</w:t>
            </w:r>
          </w:p>
        </w:tc>
        <w:tc>
          <w:tcPr>
            <w:tcW w:w="20" w:type="dxa"/>
            <w:vAlign w:val="bottom"/>
          </w:tcPr>
          <w:p>
            <w:pPr>
              <w:spacing w:after="0"/>
              <w:rPr>
                <w:sz w:val="19"/>
                <w:szCs w:val="19"/>
                <w:color w:val="auto"/>
              </w:rPr>
            </w:pPr>
          </w:p>
        </w:tc>
      </w:tr>
      <w:tr>
        <w:trPr>
          <w:trHeight w:val="230"/>
        </w:trPr>
        <w:tc>
          <w:tcPr>
            <w:tcW w:w="7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Amortization of 2025 Note fair value step up</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19,973</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42,284</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40,297</w:t>
            </w:r>
          </w:p>
        </w:tc>
        <w:tc>
          <w:tcPr>
            <w:tcW w:w="20" w:type="dxa"/>
            <w:vAlign w:val="bottom"/>
          </w:tcPr>
          <w:p>
            <w:pPr>
              <w:spacing w:after="0"/>
              <w:rPr>
                <w:sz w:val="19"/>
                <w:szCs w:val="19"/>
                <w:color w:val="auto"/>
              </w:rPr>
            </w:pPr>
          </w:p>
        </w:tc>
      </w:tr>
      <w:tr>
        <w:trPr>
          <w:trHeight w:val="229"/>
        </w:trPr>
        <w:tc>
          <w:tcPr>
            <w:tcW w:w="7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Allowance for expected credit losses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15,667</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4,284</w:t>
            </w:r>
          </w:p>
        </w:tc>
        <w:tc>
          <w:tcPr>
            <w:tcW w:w="20" w:type="dxa"/>
            <w:vAlign w:val="bottom"/>
          </w:tcPr>
          <w:p>
            <w:pPr>
              <w:spacing w:after="0"/>
              <w:rPr>
                <w:sz w:val="19"/>
                <w:szCs w:val="19"/>
                <w:color w:val="auto"/>
              </w:rPr>
            </w:pPr>
          </w:p>
        </w:tc>
      </w:tr>
      <w:tr>
        <w:trPr>
          <w:trHeight w:val="230"/>
        </w:trPr>
        <w:tc>
          <w:tcPr>
            <w:tcW w:w="7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Change in fair value of business acquisition liabilities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8,608</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4,431</w:t>
            </w:r>
          </w:p>
        </w:tc>
        <w:tc>
          <w:tcPr>
            <w:tcW w:w="20" w:type="dxa"/>
            <w:vAlign w:val="bottom"/>
          </w:tcPr>
          <w:p>
            <w:pPr>
              <w:spacing w:after="0"/>
              <w:rPr>
                <w:sz w:val="19"/>
                <w:szCs w:val="19"/>
                <w:color w:val="auto"/>
              </w:rPr>
            </w:pPr>
          </w:p>
        </w:tc>
      </w:tr>
      <w:tr>
        <w:trPr>
          <w:trHeight w:val="229"/>
        </w:trPr>
        <w:tc>
          <w:tcPr>
            <w:tcW w:w="7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Change in deferred income taxes</w:t>
            </w:r>
          </w:p>
        </w:tc>
        <w:tc>
          <w:tcPr>
            <w:tcW w:w="28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(92,723)</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(45,990)</w:t>
            </w:r>
          </w:p>
        </w:tc>
        <w:tc>
          <w:tcPr>
            <w:tcW w:w="20" w:type="dxa"/>
            <w:vAlign w:val="bottom"/>
          </w:tcPr>
          <w:p>
            <w:pPr>
              <w:spacing w:after="0"/>
              <w:rPr>
                <w:sz w:val="19"/>
                <w:szCs w:val="19"/>
                <w:color w:val="auto"/>
              </w:rPr>
            </w:pPr>
          </w:p>
        </w:tc>
      </w:tr>
      <w:tr>
        <w:trPr>
          <w:trHeight w:val="230"/>
        </w:trPr>
        <w:tc>
          <w:tcPr>
            <w:tcW w:w="7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(Gain)/loss on disposal of assets, net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2,687</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1,466</w:t>
            </w:r>
          </w:p>
        </w:tc>
        <w:tc>
          <w:tcPr>
            <w:tcW w:w="20" w:type="dxa"/>
            <w:vAlign w:val="bottom"/>
          </w:tcPr>
          <w:p>
            <w:pPr>
              <w:spacing w:after="0"/>
              <w:rPr>
                <w:sz w:val="19"/>
                <w:szCs w:val="19"/>
                <w:color w:val="auto"/>
              </w:rPr>
            </w:pPr>
          </w:p>
        </w:tc>
      </w:tr>
      <w:tr>
        <w:trPr>
          <w:trHeight w:val="229"/>
        </w:trPr>
        <w:tc>
          <w:tcPr>
            <w:tcW w:w="7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Payment of business acquisition-related liabilities</w:t>
            </w:r>
          </w:p>
        </w:tc>
        <w:tc>
          <w:tcPr>
            <w:tcW w:w="28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(18,084)</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(2,370)</w:t>
            </w:r>
          </w:p>
        </w:tc>
        <w:tc>
          <w:tcPr>
            <w:tcW w:w="20" w:type="dxa"/>
            <w:vAlign w:val="bottom"/>
          </w:tcPr>
          <w:p>
            <w:pPr>
              <w:spacing w:after="0"/>
              <w:rPr>
                <w:sz w:val="19"/>
                <w:szCs w:val="19"/>
                <w:color w:val="auto"/>
              </w:rPr>
            </w:pPr>
          </w:p>
        </w:tc>
      </w:tr>
      <w:tr>
        <w:trPr>
          <w:trHeight w:val="229"/>
        </w:trPr>
        <w:tc>
          <w:tcPr>
            <w:tcW w:w="7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(gain)/loss from foreign currency adjustment</w:t>
            </w:r>
          </w:p>
        </w:tc>
        <w:tc>
          <w:tcPr>
            <w:tcW w:w="2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(2,354)</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30"/>
        </w:trPr>
        <w:tc>
          <w:tcPr>
            <w:tcW w:w="7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(Increase) decrease in:</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7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receivable</w:t>
            </w:r>
          </w:p>
        </w:tc>
        <w:tc>
          <w:tcPr>
            <w:tcW w:w="2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(100,545)</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(36,953)</w:t>
            </w:r>
          </w:p>
        </w:tc>
        <w:tc>
          <w:tcPr>
            <w:tcW w:w="20" w:type="dxa"/>
            <w:vAlign w:val="bottom"/>
          </w:tcPr>
          <w:p>
            <w:pPr>
              <w:spacing w:after="0"/>
              <w:rPr>
                <w:sz w:val="19"/>
                <w:szCs w:val="19"/>
                <w:color w:val="auto"/>
              </w:rPr>
            </w:pPr>
          </w:p>
        </w:tc>
      </w:tr>
      <w:tr>
        <w:trPr>
          <w:trHeight w:val="229"/>
        </w:trPr>
        <w:tc>
          <w:tcPr>
            <w:tcW w:w="7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Inventories</w:t>
            </w:r>
          </w:p>
        </w:tc>
        <w:tc>
          <w:tcPr>
            <w:tcW w:w="28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(17,973)</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(58,978)</w:t>
            </w:r>
          </w:p>
        </w:tc>
        <w:tc>
          <w:tcPr>
            <w:tcW w:w="20" w:type="dxa"/>
            <w:vAlign w:val="bottom"/>
          </w:tcPr>
          <w:p>
            <w:pPr>
              <w:spacing w:after="0"/>
              <w:rPr>
                <w:sz w:val="19"/>
                <w:szCs w:val="19"/>
                <w:color w:val="auto"/>
              </w:rPr>
            </w:pPr>
          </w:p>
        </w:tc>
      </w:tr>
      <w:tr>
        <w:trPr>
          <w:trHeight w:val="230"/>
        </w:trPr>
        <w:tc>
          <w:tcPr>
            <w:tcW w:w="7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(3,108)</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w:t>
            </w:r>
          </w:p>
        </w:tc>
        <w:tc>
          <w:tcPr>
            <w:tcW w:w="20" w:type="dxa"/>
            <w:vAlign w:val="bottom"/>
          </w:tcPr>
          <w:p>
            <w:pPr>
              <w:spacing w:after="0"/>
              <w:rPr>
                <w:sz w:val="19"/>
                <w:szCs w:val="19"/>
                <w:color w:val="auto"/>
              </w:rPr>
            </w:pPr>
          </w:p>
        </w:tc>
      </w:tr>
      <w:tr>
        <w:trPr>
          <w:trHeight w:val="229"/>
        </w:trPr>
        <w:tc>
          <w:tcPr>
            <w:tcW w:w="7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Increase (decrease) in:</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1,294</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(7,952)</w:t>
            </w:r>
          </w:p>
        </w:tc>
        <w:tc>
          <w:tcPr>
            <w:tcW w:w="20" w:type="dxa"/>
            <w:vAlign w:val="bottom"/>
          </w:tcPr>
          <w:p>
            <w:pPr>
              <w:spacing w:after="0"/>
              <w:rPr>
                <w:sz w:val="19"/>
                <w:szCs w:val="19"/>
                <w:color w:val="auto"/>
              </w:rPr>
            </w:pPr>
          </w:p>
        </w:tc>
      </w:tr>
      <w:tr>
        <w:trPr>
          <w:trHeight w:val="230"/>
        </w:trPr>
        <w:tc>
          <w:tcPr>
            <w:tcW w:w="7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389</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20,579</w:t>
            </w:r>
          </w:p>
        </w:tc>
        <w:tc>
          <w:tcPr>
            <w:tcW w:w="20" w:type="dxa"/>
            <w:vAlign w:val="bottom"/>
          </w:tcPr>
          <w:p>
            <w:pPr>
              <w:spacing w:after="0"/>
              <w:rPr>
                <w:sz w:val="19"/>
                <w:szCs w:val="19"/>
                <w:color w:val="auto"/>
              </w:rPr>
            </w:pPr>
          </w:p>
        </w:tc>
      </w:tr>
      <w:tr>
        <w:trPr>
          <w:trHeight w:val="230"/>
        </w:trPr>
        <w:tc>
          <w:tcPr>
            <w:tcW w:w="7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taxes payable/receivable</w:t>
            </w:r>
          </w:p>
        </w:tc>
        <w:tc>
          <w:tcPr>
            <w:tcW w:w="2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(4,876)</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13,386</w:t>
            </w:r>
          </w:p>
        </w:tc>
        <w:tc>
          <w:tcPr>
            <w:tcW w:w="20" w:type="dxa"/>
            <w:vAlign w:val="bottom"/>
          </w:tcPr>
          <w:p>
            <w:pPr>
              <w:spacing w:after="0"/>
              <w:rPr>
                <w:sz w:val="19"/>
                <w:szCs w:val="19"/>
                <w:color w:val="auto"/>
              </w:rPr>
            </w:pPr>
          </w:p>
        </w:tc>
      </w:tr>
      <w:tr>
        <w:trPr>
          <w:trHeight w:val="209"/>
        </w:trPr>
        <w:tc>
          <w:tcPr>
            <w:tcW w:w="7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cash provided by/(used in) operating activities</w:t>
            </w:r>
          </w:p>
        </w:tc>
        <w:tc>
          <w:tcPr>
            <w:tcW w:w="2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310,299</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138,825</w:t>
            </w:r>
          </w:p>
        </w:tc>
        <w:tc>
          <w:tcPr>
            <w:tcW w:w="20" w:type="dxa"/>
            <w:vAlign w:val="bottom"/>
          </w:tcPr>
          <w:p>
            <w:pPr>
              <w:spacing w:after="0"/>
              <w:rPr>
                <w:sz w:val="18"/>
                <w:szCs w:val="18"/>
                <w:color w:val="auto"/>
              </w:rPr>
            </w:pPr>
          </w:p>
        </w:tc>
      </w:tr>
      <w:tr>
        <w:trPr>
          <w:trHeight w:val="210"/>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7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28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(13,366)</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(100,643)</w:t>
            </w:r>
          </w:p>
        </w:tc>
        <w:tc>
          <w:tcPr>
            <w:tcW w:w="20" w:type="dxa"/>
            <w:vAlign w:val="bottom"/>
          </w:tcPr>
          <w:p>
            <w:pPr>
              <w:spacing w:after="0"/>
              <w:rPr>
                <w:sz w:val="19"/>
                <w:szCs w:val="19"/>
                <w:color w:val="auto"/>
              </w:rPr>
            </w:pPr>
          </w:p>
        </w:tc>
      </w:tr>
      <w:tr>
        <w:trPr>
          <w:trHeight w:val="230"/>
        </w:trPr>
        <w:tc>
          <w:tcPr>
            <w:tcW w:w="7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Maturities of marketable securities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47,746</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214,430</w:t>
            </w:r>
          </w:p>
        </w:tc>
        <w:tc>
          <w:tcPr>
            <w:tcW w:w="20" w:type="dxa"/>
            <w:vAlign w:val="bottom"/>
          </w:tcPr>
          <w:p>
            <w:pPr>
              <w:spacing w:after="0"/>
              <w:rPr>
                <w:sz w:val="19"/>
                <w:szCs w:val="19"/>
                <w:color w:val="auto"/>
              </w:rPr>
            </w:pPr>
          </w:p>
        </w:tc>
      </w:tr>
      <w:tr>
        <w:trPr>
          <w:trHeight w:val="229"/>
        </w:trPr>
        <w:tc>
          <w:tcPr>
            <w:tcW w:w="7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Sales of marketable securities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9,644</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219,987</w:t>
            </w:r>
          </w:p>
        </w:tc>
        <w:tc>
          <w:tcPr>
            <w:tcW w:w="20" w:type="dxa"/>
            <w:vAlign w:val="bottom"/>
          </w:tcPr>
          <w:p>
            <w:pPr>
              <w:spacing w:after="0"/>
              <w:rPr>
                <w:sz w:val="19"/>
                <w:szCs w:val="19"/>
                <w:color w:val="auto"/>
              </w:rPr>
            </w:pPr>
          </w:p>
        </w:tc>
      </w:tr>
      <w:tr>
        <w:trPr>
          <w:trHeight w:val="230"/>
        </w:trPr>
        <w:tc>
          <w:tcPr>
            <w:tcW w:w="7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2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(98,318)</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(55,393)</w:t>
            </w:r>
          </w:p>
        </w:tc>
        <w:tc>
          <w:tcPr>
            <w:tcW w:w="20" w:type="dxa"/>
            <w:vAlign w:val="bottom"/>
          </w:tcPr>
          <w:p>
            <w:pPr>
              <w:spacing w:after="0"/>
              <w:rPr>
                <w:sz w:val="19"/>
                <w:szCs w:val="19"/>
                <w:color w:val="auto"/>
              </w:rPr>
            </w:pPr>
          </w:p>
        </w:tc>
      </w:tr>
      <w:tr>
        <w:trPr>
          <w:trHeight w:val="230"/>
        </w:trPr>
        <w:tc>
          <w:tcPr>
            <w:tcW w:w="7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Acquisition of businesses, net of cash acquired and purchases of intangible and other assets</w:t>
            </w:r>
          </w:p>
        </w:tc>
        <w:tc>
          <w:tcPr>
            <w:tcW w:w="28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(17,635)</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(296,028)</w:t>
            </w:r>
          </w:p>
        </w:tc>
        <w:tc>
          <w:tcPr>
            <w:tcW w:w="20" w:type="dxa"/>
            <w:vAlign w:val="bottom"/>
          </w:tcPr>
          <w:p>
            <w:pPr>
              <w:spacing w:after="0"/>
              <w:rPr>
                <w:sz w:val="19"/>
                <w:szCs w:val="19"/>
                <w:color w:val="auto"/>
              </w:rPr>
            </w:pPr>
          </w:p>
        </w:tc>
      </w:tr>
      <w:tr>
        <w:trPr>
          <w:trHeight w:val="210"/>
        </w:trPr>
        <w:tc>
          <w:tcPr>
            <w:tcW w:w="7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by/(used in) investing activities</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(71,929)</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(17,647)</w:t>
            </w:r>
          </w:p>
        </w:tc>
        <w:tc>
          <w:tcPr>
            <w:tcW w:w="20" w:type="dxa"/>
            <w:vAlign w:val="bottom"/>
          </w:tcPr>
          <w:p>
            <w:pPr>
              <w:spacing w:after="0"/>
              <w:rPr>
                <w:sz w:val="18"/>
                <w:szCs w:val="18"/>
                <w:color w:val="auto"/>
              </w:rPr>
            </w:pPr>
          </w:p>
        </w:tc>
      </w:tr>
      <w:tr>
        <w:trPr>
          <w:trHeight w:val="209"/>
        </w:trPr>
        <w:tc>
          <w:tcPr>
            <w:tcW w:w="7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7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Payment of business acquisition-related liabilities</w:t>
            </w:r>
          </w:p>
        </w:tc>
        <w:tc>
          <w:tcPr>
            <w:tcW w:w="2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(37,003)</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(5,908)</w:t>
            </w:r>
          </w:p>
        </w:tc>
        <w:tc>
          <w:tcPr>
            <w:tcW w:w="20" w:type="dxa"/>
            <w:vAlign w:val="bottom"/>
          </w:tcPr>
          <w:p>
            <w:pPr>
              <w:spacing w:after="0"/>
              <w:rPr>
                <w:sz w:val="19"/>
                <w:szCs w:val="19"/>
                <w:color w:val="auto"/>
              </w:rPr>
            </w:pPr>
          </w:p>
        </w:tc>
      </w:tr>
      <w:tr>
        <w:trPr>
          <w:trHeight w:val="230"/>
        </w:trPr>
        <w:tc>
          <w:tcPr>
            <w:tcW w:w="7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proceeds from exercise of stock options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41,156</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11,357</w:t>
            </w:r>
          </w:p>
        </w:tc>
        <w:tc>
          <w:tcPr>
            <w:tcW w:w="20" w:type="dxa"/>
            <w:vAlign w:val="bottom"/>
          </w:tcPr>
          <w:p>
            <w:pPr>
              <w:spacing w:after="0"/>
              <w:rPr>
                <w:sz w:val="19"/>
                <w:szCs w:val="19"/>
                <w:color w:val="auto"/>
              </w:rPr>
            </w:pPr>
          </w:p>
        </w:tc>
      </w:tr>
      <w:tr>
        <w:trPr>
          <w:trHeight w:val="230"/>
        </w:trPr>
        <w:tc>
          <w:tcPr>
            <w:tcW w:w="7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Payments related to tax withholdings for share-based compensation</w:t>
            </w:r>
          </w:p>
        </w:tc>
        <w:tc>
          <w:tcPr>
            <w:tcW w:w="2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(6,795)</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30"/>
        </w:trPr>
        <w:tc>
          <w:tcPr>
            <w:tcW w:w="7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28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(84,787)</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7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by/(used in) financing activities</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(87,429)</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5,449</w:t>
            </w:r>
          </w:p>
        </w:tc>
        <w:tc>
          <w:tcPr>
            <w:tcW w:w="20" w:type="dxa"/>
            <w:vAlign w:val="bottom"/>
          </w:tcPr>
          <w:p>
            <w:pPr>
              <w:spacing w:after="0"/>
              <w:rPr>
                <w:sz w:val="18"/>
                <w:szCs w:val="18"/>
                <w:color w:val="auto"/>
              </w:rPr>
            </w:pPr>
          </w:p>
        </w:tc>
      </w:tr>
      <w:tr>
        <w:trPr>
          <w:trHeight w:val="210"/>
        </w:trPr>
        <w:tc>
          <w:tcPr>
            <w:tcW w:w="7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Effect of foreign exchange rates on cash</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4,533</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2,527</w:t>
            </w:r>
          </w:p>
        </w:tc>
        <w:tc>
          <w:tcPr>
            <w:tcW w:w="20" w:type="dxa"/>
            <w:vAlign w:val="bottom"/>
          </w:tcPr>
          <w:p>
            <w:pPr>
              <w:spacing w:after="0"/>
              <w:rPr>
                <w:sz w:val="18"/>
                <w:szCs w:val="18"/>
                <w:color w:val="auto"/>
              </w:rPr>
            </w:pPr>
          </w:p>
        </w:tc>
      </w:tr>
      <w:tr>
        <w:trPr>
          <w:trHeight w:val="210"/>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increase/(decrease) in cash and cash equivalents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155,474</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129,154</w:t>
            </w:r>
          </w:p>
        </w:tc>
        <w:tc>
          <w:tcPr>
            <w:tcW w:w="20" w:type="dxa"/>
            <w:vAlign w:val="bottom"/>
          </w:tcPr>
          <w:p>
            <w:pPr>
              <w:spacing w:after="0"/>
              <w:rPr>
                <w:sz w:val="18"/>
                <w:szCs w:val="18"/>
                <w:color w:val="auto"/>
              </w:rPr>
            </w:pPr>
          </w:p>
        </w:tc>
      </w:tr>
      <w:tr>
        <w:trPr>
          <w:trHeight w:val="230"/>
        </w:trPr>
        <w:tc>
          <w:tcPr>
            <w:tcW w:w="7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467,292</w:t>
            </w:r>
          </w:p>
        </w:tc>
        <w:tc>
          <w:tcPr>
            <w:tcW w:w="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150,466</w:t>
            </w:r>
          </w:p>
        </w:tc>
        <w:tc>
          <w:tcPr>
            <w:tcW w:w="20" w:type="dxa"/>
            <w:vAlign w:val="bottom"/>
          </w:tcPr>
          <w:p>
            <w:pPr>
              <w:spacing w:after="0"/>
              <w:rPr>
                <w:sz w:val="19"/>
                <w:szCs w:val="19"/>
                <w:color w:val="auto"/>
              </w:rPr>
            </w:pPr>
          </w:p>
        </w:tc>
      </w:tr>
      <w:tr>
        <w:trPr>
          <w:trHeight w:val="216"/>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period</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622,766</w:t>
            </w:r>
          </w:p>
        </w:tc>
        <w:tc>
          <w:tcPr>
            <w:tcW w:w="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279,620</w:t>
            </w:r>
          </w:p>
        </w:tc>
        <w:tc>
          <w:tcPr>
            <w:tcW w:w="20" w:type="dxa"/>
            <w:vAlign w:val="bottom"/>
          </w:tcPr>
          <w:p>
            <w:pPr>
              <w:spacing w:after="0"/>
              <w:rPr>
                <w:sz w:val="18"/>
                <w:szCs w:val="18"/>
                <w:color w:val="auto"/>
              </w:rPr>
            </w:pPr>
          </w:p>
        </w:tc>
      </w:tr>
      <w:tr>
        <w:trPr>
          <w:trHeight w:val="216"/>
        </w:trPr>
        <w:tc>
          <w:tcPr>
            <w:tcW w:w="734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70"/>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Income taxes paid, net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117,474</w:t>
            </w:r>
          </w:p>
        </w:tc>
        <w:tc>
          <w:tcPr>
            <w:tcW w:w="60" w:type="dxa"/>
            <w:vAlign w:val="bottom"/>
          </w:tcPr>
          <w:p>
            <w:pPr>
              <w:spacing w:after="0"/>
              <w:rPr>
                <w:sz w:val="23"/>
                <w:szCs w:val="23"/>
                <w:color w:val="auto"/>
              </w:rPr>
            </w:pPr>
          </w:p>
        </w:tc>
        <w:tc>
          <w:tcPr>
            <w:tcW w:w="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65,171</w:t>
            </w:r>
          </w:p>
        </w:tc>
        <w:tc>
          <w:tcPr>
            <w:tcW w:w="20" w:type="dxa"/>
            <w:vAlign w:val="bottom"/>
          </w:tcPr>
          <w:p>
            <w:pPr>
              <w:spacing w:after="0"/>
              <w:rPr>
                <w:sz w:val="23"/>
                <w:szCs w:val="23"/>
                <w:color w:val="auto"/>
              </w:rPr>
            </w:pPr>
          </w:p>
        </w:tc>
      </w:tr>
      <w:tr>
        <w:trPr>
          <w:trHeight w:val="270"/>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investing and financing activities:</w:t>
            </w: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r>
      <w:tr>
        <w:trPr>
          <w:trHeight w:val="270"/>
        </w:trPr>
        <w:tc>
          <w:tcPr>
            <w:tcW w:w="7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Equity issued in conjunction with the NuVasive Merger</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2,153,860</w:t>
            </w:r>
          </w:p>
        </w:tc>
        <w:tc>
          <w:tcPr>
            <w:tcW w:w="20" w:type="dxa"/>
            <w:vAlign w:val="bottom"/>
          </w:tcPr>
          <w:p>
            <w:pPr>
              <w:spacing w:after="0"/>
              <w:rPr>
                <w:sz w:val="23"/>
                <w:szCs w:val="23"/>
                <w:color w:val="auto"/>
              </w:rPr>
            </w:pPr>
          </w:p>
        </w:tc>
      </w:tr>
      <w:tr>
        <w:trPr>
          <w:trHeight w:val="243"/>
        </w:trPr>
        <w:tc>
          <w:tcPr>
            <w:tcW w:w="7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Accrued purchases of property and equipment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4,802</w:t>
            </w:r>
          </w:p>
        </w:tc>
        <w:tc>
          <w:tcPr>
            <w:tcW w:w="60" w:type="dxa"/>
            <w:vAlign w:val="bottom"/>
            <w:shd w:val="clear" w:color="auto" w:fill="CCEEFF"/>
          </w:tcPr>
          <w:p>
            <w:pPr>
              <w:spacing w:after="0"/>
              <w:rPr>
                <w:sz w:val="21"/>
                <w:szCs w:val="21"/>
                <w:color w:val="auto"/>
              </w:rPr>
            </w:pPr>
          </w:p>
        </w:tc>
        <w:tc>
          <w:tcPr>
            <w:tcW w:w="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5,971</w:t>
            </w:r>
          </w:p>
        </w:tc>
        <w:tc>
          <w:tcPr>
            <w:tcW w:w="20" w:type="dxa"/>
            <w:vAlign w:val="bottom"/>
          </w:tcPr>
          <w:p>
            <w:pPr>
              <w:spacing w:after="0"/>
              <w:rPr>
                <w:sz w:val="21"/>
                <w:szCs w:val="21"/>
                <w:color w:val="auto"/>
              </w:rPr>
            </w:pPr>
          </w:p>
        </w:tc>
      </w:tr>
      <w:tr>
        <w:trPr>
          <w:trHeight w:val="216"/>
        </w:trPr>
        <w:tc>
          <w:tcPr>
            <w:tcW w:w="734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r>
      <w:tr>
        <w:trPr>
          <w:trHeight w:val="20"/>
        </w:trPr>
        <w:tc>
          <w:tcPr>
            <w:tcW w:w="7340" w:type="dxa"/>
            <w:vAlign w:val="bottom"/>
            <w:tcBorders>
              <w:bottom w:val="single" w:sz="8" w:color="EEEEEE"/>
            </w:tcBorders>
          </w:tcPr>
          <w:p>
            <w:pPr>
              <w:spacing w:after="0" w:line="20" w:lineRule="exact"/>
              <w:rPr>
                <w:sz w:val="1"/>
                <w:szCs w:val="1"/>
                <w:color w:val="auto"/>
              </w:rPr>
            </w:pPr>
          </w:p>
        </w:tc>
        <w:tc>
          <w:tcPr>
            <w:tcW w:w="280" w:type="dxa"/>
            <w:vAlign w:val="bottom"/>
            <w:tcBorders>
              <w:bottom w:val="single" w:sz="8" w:color="EEEEEE"/>
            </w:tcBorders>
          </w:tcPr>
          <w:p>
            <w:pPr>
              <w:spacing w:after="0" w:line="20" w:lineRule="exact"/>
              <w:rPr>
                <w:sz w:val="1"/>
                <w:szCs w:val="1"/>
                <w:color w:val="auto"/>
              </w:rPr>
            </w:pPr>
          </w:p>
        </w:tc>
        <w:tc>
          <w:tcPr>
            <w:tcW w:w="94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420" w:type="dxa"/>
            <w:vAlign w:val="bottom"/>
            <w:tcBorders>
              <w:bottom w:val="single" w:sz="8" w:color="EEEEEE"/>
            </w:tcBorders>
          </w:tcPr>
          <w:p>
            <w:pPr>
              <w:spacing w:after="0" w:line="20" w:lineRule="exact"/>
              <w:rPr>
                <w:sz w:val="1"/>
                <w:szCs w:val="1"/>
                <w:color w:val="auto"/>
              </w:rPr>
            </w:pPr>
          </w:p>
        </w:tc>
        <w:tc>
          <w:tcPr>
            <w:tcW w:w="8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6302375</wp:posOffset>
            </wp:positionH>
            <wp:positionV relativeFrom="paragraph">
              <wp:posOffset>-38100</wp:posOffset>
            </wp:positionV>
            <wp:extent cx="33655" cy="514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5143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-38100</wp:posOffset>
            </wp:positionV>
            <wp:extent cx="33655" cy="514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51435"/>
                    </a:xfrm>
                    <a:prstGeom prst="rect">
                      <a:avLst/>
                    </a:prstGeom>
                    <a:noFill/>
                  </pic:spPr>
                </pic:pic>
              </a:graphicData>
            </a:graphic>
          </wp:anchor>
        </w:drawing>
      </w:r>
    </w:p>
    <w:p>
      <w:pPr>
        <w:sectPr>
          <w:pgSz w:w="11900" w:h="16838" w:orient="portrait"/>
          <w:cols w:equalWidth="0" w:num="1">
            <w:col w:w="9960"/>
          </w:cols>
          <w:pgMar w:left="980" w:top="468" w:right="959" w:bottom="1440" w:gutter="0" w:footer="0" w:header="0"/>
        </w:sectPr>
      </w:pPr>
    </w:p>
    <w:bookmarkStart w:id="10" w:name="page11"/>
    <w:bookmarkEnd w:id="10"/>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Supplemental Financial Information</w:t>
      </w:r>
    </w:p>
    <w:p>
      <w:pPr>
        <w:spacing w:after="0" w:line="29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Net Sales by Product Category:</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20" w:type="dxa"/>
            <w:vAlign w:val="bottom"/>
            <w:gridSpan w:val="5"/>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40" w:type="dxa"/>
            <w:vAlign w:val="bottom"/>
            <w:gridSpan w:val="7"/>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26"/>
        </w:trPr>
        <w:tc>
          <w:tcPr>
            <w:tcW w:w="51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6"/>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209"/>
        </w:trPr>
        <w:tc>
          <w:tcPr>
            <w:tcW w:w="5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Musculoskeletal Solutions</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587,402</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355,978</w:t>
            </w:r>
          </w:p>
        </w:tc>
        <w:tc>
          <w:tcPr>
            <w:tcW w:w="300" w:type="dxa"/>
            <w:vAlign w:val="bottom"/>
            <w:gridSpan w:val="2"/>
            <w:shd w:val="clear" w:color="auto" w:fill="CCEEFF"/>
          </w:tcPr>
          <w:p>
            <w:pPr>
              <w:jc w:val="center"/>
              <w:ind w:left="79"/>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1,755,011</w:t>
            </w: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864,440</w:t>
            </w:r>
          </w:p>
        </w:tc>
      </w:tr>
      <w:tr>
        <w:trPr>
          <w:trHeight w:val="230"/>
        </w:trPr>
        <w:tc>
          <w:tcPr>
            <w:tcW w:w="5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Enabling Technologies</w:t>
            </w: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38,303</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27,661</w:t>
            </w:r>
          </w:p>
        </w:tc>
        <w:tc>
          <w:tcPr>
            <w:tcW w:w="1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107,051</w:t>
            </w: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87,502</w:t>
            </w:r>
          </w:p>
        </w:tc>
      </w:tr>
      <w:tr>
        <w:trPr>
          <w:trHeight w:val="209"/>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sales</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625,705</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383,639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1,862,062</w:t>
            </w: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951,942</w:t>
            </w:r>
          </w:p>
        </w:tc>
      </w:tr>
      <w:tr>
        <w:trPr>
          <w:trHeight w:val="27"/>
        </w:trPr>
        <w:tc>
          <w:tcPr>
            <w:tcW w:w="5160" w:type="dxa"/>
            <w:vAlign w:val="bottom"/>
            <w:shd w:val="clear" w:color="auto" w:fill="CCEEFF"/>
          </w:tcPr>
          <w:p>
            <w:pPr>
              <w:spacing w:after="0"/>
              <w:rPr>
                <w:sz w:val="2"/>
                <w:szCs w:val="2"/>
                <w:color w:val="auto"/>
              </w:rPr>
            </w:pPr>
          </w:p>
        </w:tc>
        <w:tc>
          <w:tcPr>
            <w:tcW w:w="1040" w:type="dxa"/>
            <w:vAlign w:val="bottom"/>
            <w:gridSpan w:val="2"/>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r>
      <w:tr>
        <w:trPr>
          <w:trHeight w:val="580"/>
        </w:trPr>
        <w:tc>
          <w:tcPr>
            <w:tcW w:w="6340" w:type="dxa"/>
            <w:vAlign w:val="bottom"/>
            <w:gridSpan w:val="4"/>
          </w:tcPr>
          <w:p>
            <w:pPr>
              <w:ind w:left="368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634"/>
        </w:trPr>
        <w:tc>
          <w:tcPr>
            <w:tcW w:w="5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3"/>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10"/>
        </w:trPr>
        <w:tc>
          <w:tcPr>
            <w:tcW w:w="5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2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3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3"/>
          </w:tcPr>
          <w:p>
            <w:pPr>
              <w:jc w:val="center"/>
              <w:ind w:right="374"/>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4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50"/>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319"/>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622,766</w:t>
            </w:r>
          </w:p>
        </w:tc>
        <w:tc>
          <w:tcPr>
            <w:tcW w:w="42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467,292</w:t>
            </w:r>
          </w:p>
        </w:tc>
      </w:tr>
      <w:tr>
        <w:trPr>
          <w:trHeight w:val="270"/>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Short-term marketable securities</w:t>
            </w: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71,940</w:t>
            </w: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50,497</w:t>
            </w:r>
          </w:p>
        </w:tc>
      </w:tr>
      <w:tr>
        <w:trPr>
          <w:trHeight w:val="270"/>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marketable securities</w:t>
            </w: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12,297</w:t>
            </w:r>
          </w:p>
        </w:tc>
        <w:tc>
          <w:tcPr>
            <w:tcW w:w="40" w:type="dxa"/>
            <w:vAlign w:val="bottom"/>
            <w:tcBorders>
              <w:bottom w:val="single" w:sz="8" w:color="auto"/>
            </w:tcBorders>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75,428</w:t>
            </w: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Total cash, cash equivalents and marketable securities</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707,003</w:t>
            </w:r>
          </w:p>
        </w:tc>
        <w:tc>
          <w:tcPr>
            <w:tcW w:w="4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593,217</w:t>
            </w: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following tables reconcile GAAP to Non-GAAP financial measures.</w:t>
      </w:r>
    </w:p>
    <w:p>
      <w:pPr>
        <w:spacing w:after="0" w:line="162" w:lineRule="exact"/>
        <w:rPr>
          <w:sz w:val="20"/>
          <w:szCs w:val="20"/>
          <w:color w:val="auto"/>
        </w:rPr>
      </w:pPr>
    </w:p>
    <w:p>
      <w:pPr>
        <w:jc w:val="both"/>
        <w:ind w:right="40"/>
        <w:spacing w:after="0" w:line="222" w:lineRule="auto"/>
        <w:rPr>
          <w:sz w:val="20"/>
          <w:szCs w:val="20"/>
          <w:color w:val="auto"/>
        </w:rPr>
      </w:pPr>
      <w:r>
        <w:rPr>
          <w:rFonts w:ascii="Times New Roman" w:cs="Times New Roman" w:eastAsia="Times New Roman" w:hAnsi="Times New Roman"/>
          <w:sz w:val="18"/>
          <w:szCs w:val="18"/>
          <w:color w:val="auto"/>
        </w:rPr>
        <w:t>As of September 30, 2024, we no longer include Acquisition of in-process research and development as an adjustment to the non-GAAP financial measures. As previously disclosed, the Company incurred $12.6 million in the nine months ended September 30, 2024 for the</w:t>
      </w:r>
    </w:p>
    <w:p>
      <w:pPr>
        <w:spacing w:after="0" w:line="2" w:lineRule="exact"/>
        <w:rPr>
          <w:sz w:val="20"/>
          <w:szCs w:val="20"/>
          <w:color w:val="auto"/>
        </w:rPr>
      </w:pPr>
    </w:p>
    <w:p>
      <w:pPr>
        <w:jc w:val="both"/>
        <w:ind w:right="40"/>
        <w:spacing w:after="0" w:line="226" w:lineRule="auto"/>
        <w:rPr>
          <w:sz w:val="20"/>
          <w:szCs w:val="20"/>
          <w:color w:val="auto"/>
        </w:rPr>
      </w:pPr>
      <w:r>
        <w:rPr>
          <w:rFonts w:ascii="Times New Roman" w:cs="Times New Roman" w:eastAsia="Times New Roman" w:hAnsi="Times New Roman"/>
          <w:sz w:val="18"/>
          <w:szCs w:val="18"/>
          <w:color w:val="auto"/>
        </w:rPr>
        <w:t>Acquisition of in-process research and development, which, when it was previously included, resulted in a year-to-date impact of 0.7% on Adjusted EBITDA as a percentage of net sales and $0.09 on Non-GAAP diluted earnings per share.</w:t>
      </w:r>
    </w:p>
    <w:p>
      <w:pPr>
        <w:spacing w:after="0" w:line="1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Non-GAAP Adjusted EBITDA Reconciliation Table:</w:t>
      </w: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4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6"/>
                <w:szCs w:val="16"/>
                <w:color w:val="auto"/>
              </w:rPr>
            </w:pPr>
          </w:p>
        </w:tc>
        <w:tc>
          <w:tcPr>
            <w:tcW w:w="2000" w:type="dxa"/>
            <w:vAlign w:val="bottom"/>
            <w:gridSpan w:val="6"/>
          </w:tcPr>
          <w:p>
            <w:pPr>
              <w:ind w:left="24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26"/>
        </w:trPr>
        <w:tc>
          <w:tcPr>
            <w:tcW w:w="49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8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10"/>
        </w:trPr>
        <w:tc>
          <w:tcPr>
            <w:tcW w:w="4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percentages)</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0" w:type="dxa"/>
            <w:vAlign w:val="bottom"/>
          </w:tcPr>
          <w:p>
            <w:pPr>
              <w:spacing w:after="0"/>
              <w:rPr>
                <w:sz w:val="18"/>
                <w:szCs w:val="18"/>
                <w:color w:val="auto"/>
              </w:rPr>
            </w:pPr>
          </w:p>
        </w:tc>
      </w:tr>
      <w:tr>
        <w:trPr>
          <w:trHeight w:val="210"/>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income/(loss)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51,836</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76,479</w:t>
            </w:r>
          </w:p>
        </w:tc>
        <w:tc>
          <w:tcPr>
            <w:tcW w:w="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107,839</w:t>
            </w:r>
          </w:p>
        </w:tc>
        <w:tc>
          <w:tcPr>
            <w:tcW w:w="20" w:type="dxa"/>
            <w:vAlign w:val="bottom"/>
          </w:tcPr>
          <w:p>
            <w:pPr>
              <w:spacing w:after="0"/>
              <w:rPr>
                <w:sz w:val="18"/>
                <w:szCs w:val="18"/>
                <w:color w:val="auto"/>
              </w:rPr>
            </w:pPr>
          </w:p>
        </w:tc>
      </w:tr>
      <w:tr>
        <w:trPr>
          <w:trHeight w:val="230"/>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(income)/expense, net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(7,920)</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5,004</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(22,711)</w:t>
            </w:r>
          </w:p>
        </w:tc>
        <w:tc>
          <w:tcPr>
            <w:tcW w:w="20" w:type="dxa"/>
            <w:vAlign w:val="bottom"/>
          </w:tcPr>
          <w:p>
            <w:pPr>
              <w:spacing w:after="0"/>
              <w:rPr>
                <w:sz w:val="19"/>
                <w:szCs w:val="19"/>
                <w:color w:val="auto"/>
              </w:rPr>
            </w:pPr>
          </w:p>
        </w:tc>
      </w:tr>
      <w:tr>
        <w:trPr>
          <w:trHeight w:val="229"/>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5,196</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1,537</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19,576</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32,560</w:t>
            </w:r>
          </w:p>
        </w:tc>
        <w:tc>
          <w:tcPr>
            <w:tcW w:w="20" w:type="dxa"/>
            <w:vAlign w:val="bottom"/>
          </w:tcPr>
          <w:p>
            <w:pPr>
              <w:spacing w:after="0"/>
              <w:rPr>
                <w:sz w:val="19"/>
                <w:szCs w:val="19"/>
                <w:color w:val="auto"/>
              </w:rPr>
            </w:pPr>
          </w:p>
        </w:tc>
      </w:tr>
      <w:tr>
        <w:trPr>
          <w:trHeight w:val="230"/>
        </w:trPr>
        <w:tc>
          <w:tcPr>
            <w:tcW w:w="4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66,947</w:t>
            </w:r>
          </w:p>
        </w:tc>
        <w:tc>
          <w:tcPr>
            <w:tcW w:w="1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37,388</w:t>
            </w:r>
          </w:p>
        </w:tc>
        <w:tc>
          <w:tcPr>
            <w:tcW w:w="1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185,796</w:t>
            </w:r>
          </w:p>
        </w:tc>
        <w:tc>
          <w:tcPr>
            <w:tcW w:w="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73,571</w:t>
            </w:r>
          </w:p>
        </w:tc>
        <w:tc>
          <w:tcPr>
            <w:tcW w:w="20" w:type="dxa"/>
            <w:vAlign w:val="bottom"/>
          </w:tcPr>
          <w:p>
            <w:pPr>
              <w:spacing w:after="0"/>
              <w:rPr>
                <w:sz w:val="19"/>
                <w:szCs w:val="19"/>
                <w:color w:val="auto"/>
              </w:rPr>
            </w:pPr>
          </w:p>
        </w:tc>
      </w:tr>
      <w:tr>
        <w:trPr>
          <w:trHeight w:val="210"/>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EBITDA</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124,754</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32,003</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286,855</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191,259</w:t>
            </w:r>
          </w:p>
        </w:tc>
        <w:tc>
          <w:tcPr>
            <w:tcW w:w="20" w:type="dxa"/>
            <w:vAlign w:val="bottom"/>
          </w:tcPr>
          <w:p>
            <w:pPr>
              <w:spacing w:after="0"/>
              <w:rPr>
                <w:sz w:val="18"/>
                <w:szCs w:val="18"/>
                <w:color w:val="auto"/>
              </w:rPr>
            </w:pPr>
          </w:p>
        </w:tc>
      </w:tr>
      <w:tr>
        <w:trPr>
          <w:trHeight w:val="230"/>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11,356</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9,877</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36,530</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27,418</w:t>
            </w:r>
          </w:p>
        </w:tc>
        <w:tc>
          <w:tcPr>
            <w:tcW w:w="20" w:type="dxa"/>
            <w:vAlign w:val="bottom"/>
          </w:tcPr>
          <w:p>
            <w:pPr>
              <w:spacing w:after="0"/>
              <w:rPr>
                <w:sz w:val="19"/>
                <w:szCs w:val="19"/>
                <w:color w:val="auto"/>
              </w:rPr>
            </w:pPr>
          </w:p>
        </w:tc>
      </w:tr>
      <w:tr>
        <w:trPr>
          <w:trHeight w:val="229"/>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litigation, net</w:t>
            </w: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(676)</w:t>
            </w: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2,924</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20" w:type="dxa"/>
            <w:vAlign w:val="bottom"/>
          </w:tcPr>
          <w:p>
            <w:pPr>
              <w:spacing w:after="0"/>
              <w:rPr>
                <w:sz w:val="19"/>
                <w:szCs w:val="19"/>
                <w:color w:val="auto"/>
              </w:rPr>
            </w:pPr>
          </w:p>
        </w:tc>
      </w:tr>
      <w:tr>
        <w:trPr>
          <w:trHeight w:val="230"/>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Merger and acquisition-related costs </w:t>
            </w:r>
            <w:r>
              <w:rPr>
                <w:rFonts w:ascii="Times New Roman" w:cs="Times New Roman" w:eastAsia="Times New Roman" w:hAnsi="Times New Roman"/>
                <w:sz w:val="8"/>
                <w:szCs w:val="8"/>
                <w:color w:val="auto"/>
              </w:rPr>
              <w:t>(1)</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61,160</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64,883</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185,160</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72,067</w:t>
            </w:r>
          </w:p>
        </w:tc>
        <w:tc>
          <w:tcPr>
            <w:tcW w:w="20" w:type="dxa"/>
            <w:vAlign w:val="bottom"/>
          </w:tcPr>
          <w:p>
            <w:pPr>
              <w:spacing w:after="0"/>
              <w:rPr>
                <w:sz w:val="19"/>
                <w:szCs w:val="19"/>
                <w:color w:val="auto"/>
              </w:rPr>
            </w:pPr>
          </w:p>
        </w:tc>
      </w:tr>
      <w:tr>
        <w:trPr>
          <w:trHeight w:val="230"/>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(gain) loss from strategic investments</w:t>
            </w: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20" w:type="dxa"/>
            <w:vAlign w:val="bottom"/>
          </w:tcPr>
          <w:p>
            <w:pPr>
              <w:spacing w:after="0"/>
              <w:rPr>
                <w:sz w:val="19"/>
                <w:szCs w:val="19"/>
                <w:color w:val="auto"/>
              </w:rPr>
            </w:pPr>
          </w:p>
        </w:tc>
      </w:tr>
      <w:tr>
        <w:trPr>
          <w:trHeight w:val="230"/>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Non-cash acquisition-related foreign currency impacts</w:t>
            </w:r>
          </w:p>
        </w:tc>
        <w:tc>
          <w:tcPr>
            <w:tcW w:w="3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(8,912)</w:t>
            </w: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2,898</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(2,354)</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2,898</w:t>
            </w:r>
          </w:p>
        </w:tc>
        <w:tc>
          <w:tcPr>
            <w:tcW w:w="20" w:type="dxa"/>
            <w:vAlign w:val="bottom"/>
          </w:tcPr>
          <w:p>
            <w:pPr>
              <w:spacing w:after="0"/>
              <w:rPr>
                <w:sz w:val="19"/>
                <w:szCs w:val="19"/>
                <w:color w:val="auto"/>
              </w:rPr>
            </w:pPr>
          </w:p>
        </w:tc>
      </w:tr>
      <w:tr>
        <w:trPr>
          <w:trHeight w:val="229"/>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Restructuring costs</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6,009</w:t>
            </w:r>
          </w:p>
        </w:tc>
        <w:tc>
          <w:tcPr>
            <w:tcW w:w="1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31,542</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17"/>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193,691</w:t>
            </w:r>
          </w:p>
        </w:tc>
        <w:tc>
          <w:tcPr>
            <w:tcW w:w="160" w:type="dxa"/>
            <w:vAlign w:val="bottom"/>
          </w:tcPr>
          <w:p>
            <w:pPr>
              <w:spacing w:after="0"/>
              <w:rPr>
                <w:sz w:val="18"/>
                <w:szCs w:val="18"/>
                <w:color w:val="auto"/>
              </w:rPr>
            </w:pP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112,852</w:t>
            </w:r>
          </w:p>
        </w:tc>
        <w:tc>
          <w:tcPr>
            <w:tcW w:w="160" w:type="dxa"/>
            <w:vAlign w:val="bottom"/>
          </w:tcPr>
          <w:p>
            <w:pPr>
              <w:spacing w:after="0"/>
              <w:rPr>
                <w:sz w:val="18"/>
                <w:szCs w:val="18"/>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538,094</w:t>
            </w:r>
          </w:p>
        </w:tc>
        <w:tc>
          <w:tcPr>
            <w:tcW w:w="60" w:type="dxa"/>
            <w:vAlign w:val="bottom"/>
          </w:tcPr>
          <w:p>
            <w:pPr>
              <w:spacing w:after="0"/>
              <w:rPr>
                <w:sz w:val="18"/>
                <w:szCs w:val="18"/>
                <w:color w:val="auto"/>
              </w:rPr>
            </w:pPr>
          </w:p>
        </w:tc>
        <w:tc>
          <w:tcPr>
            <w:tcW w:w="4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294,094</w:t>
            </w:r>
          </w:p>
        </w:tc>
        <w:tc>
          <w:tcPr>
            <w:tcW w:w="20" w:type="dxa"/>
            <w:vAlign w:val="bottom"/>
          </w:tcPr>
          <w:p>
            <w:pPr>
              <w:spacing w:after="0"/>
              <w:rPr>
                <w:sz w:val="18"/>
                <w:szCs w:val="18"/>
                <w:color w:val="auto"/>
              </w:rPr>
            </w:pPr>
          </w:p>
        </w:tc>
      </w:tr>
      <w:tr>
        <w:trPr>
          <w:trHeight w:val="216"/>
        </w:trPr>
        <w:tc>
          <w:tcPr>
            <w:tcW w:w="49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43"/>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Net income/(loss) as a percentage of net sales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20" w:type="dxa"/>
            <w:vAlign w:val="bottom"/>
          </w:tcPr>
          <w:p>
            <w:pPr>
              <w:spacing w:after="0"/>
              <w:rPr>
                <w:sz w:val="21"/>
                <w:szCs w:val="21"/>
                <w:color w:val="auto"/>
              </w:rPr>
            </w:pPr>
          </w:p>
        </w:tc>
      </w:tr>
      <w:tr>
        <w:trPr>
          <w:trHeight w:val="230"/>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 as a percentage of net sales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20" w:type="dxa"/>
            <w:vAlign w:val="bottom"/>
          </w:tcPr>
          <w:p>
            <w:pPr>
              <w:spacing w:after="0"/>
              <w:rPr>
                <w:sz w:val="19"/>
                <w:szCs w:val="19"/>
                <w:color w:val="auto"/>
              </w:rPr>
            </w:pPr>
          </w:p>
        </w:tc>
      </w:tr>
      <w:tr>
        <w:trPr>
          <w:trHeight w:val="581"/>
        </w:trPr>
        <w:tc>
          <w:tcPr>
            <w:tcW w:w="49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r>
        <w:trPr>
          <w:trHeight w:val="20"/>
        </w:trPr>
        <w:tc>
          <w:tcPr>
            <w:tcW w:w="4960" w:type="dxa"/>
            <w:vAlign w:val="bottom"/>
            <w:tcBorders>
              <w:bottom w:val="single" w:sz="8" w:color="EEEEEE"/>
            </w:tcBorders>
          </w:tcPr>
          <w:p>
            <w:pPr>
              <w:spacing w:after="0" w:line="20" w:lineRule="exact"/>
              <w:rPr>
                <w:sz w:val="1"/>
                <w:szCs w:val="1"/>
                <w:color w:val="auto"/>
              </w:rPr>
            </w:pPr>
          </w:p>
        </w:tc>
        <w:tc>
          <w:tcPr>
            <w:tcW w:w="320" w:type="dxa"/>
            <w:vAlign w:val="bottom"/>
            <w:tcBorders>
              <w:bottom w:val="single" w:sz="8" w:color="EEEEEE"/>
            </w:tcBorders>
          </w:tcPr>
          <w:p>
            <w:pPr>
              <w:spacing w:after="0" w:line="20" w:lineRule="exact"/>
              <w:rPr>
                <w:sz w:val="1"/>
                <w:szCs w:val="1"/>
                <w:color w:val="auto"/>
              </w:rPr>
            </w:pPr>
          </w:p>
        </w:tc>
        <w:tc>
          <w:tcPr>
            <w:tcW w:w="104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300" w:type="dxa"/>
            <w:vAlign w:val="bottom"/>
            <w:tcBorders>
              <w:bottom w:val="single" w:sz="8" w:color="EEEEEE"/>
            </w:tcBorders>
          </w:tcPr>
          <w:p>
            <w:pPr>
              <w:spacing w:after="0" w:line="20" w:lineRule="exact"/>
              <w:rPr>
                <w:sz w:val="1"/>
                <w:szCs w:val="1"/>
                <w:color w:val="auto"/>
              </w:rPr>
            </w:pPr>
          </w:p>
        </w:tc>
        <w:tc>
          <w:tcPr>
            <w:tcW w:w="78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80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360" w:type="dxa"/>
            <w:vAlign w:val="bottom"/>
            <w:tcBorders>
              <w:bottom w:val="single" w:sz="8" w:color="EEEEEE"/>
            </w:tcBorders>
          </w:tcPr>
          <w:p>
            <w:pPr>
              <w:spacing w:after="0" w:line="20" w:lineRule="exact"/>
              <w:rPr>
                <w:sz w:val="1"/>
                <w:szCs w:val="1"/>
                <w:color w:val="auto"/>
              </w:rPr>
            </w:pPr>
          </w:p>
        </w:tc>
        <w:tc>
          <w:tcPr>
            <w:tcW w:w="68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6302375</wp:posOffset>
            </wp:positionH>
            <wp:positionV relativeFrom="paragraph">
              <wp:posOffset>-37465</wp:posOffset>
            </wp:positionV>
            <wp:extent cx="33655" cy="508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5080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-37465</wp:posOffset>
            </wp:positionV>
            <wp:extent cx="33655" cy="508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50800"/>
                    </a:xfrm>
                    <a:prstGeom prst="rect">
                      <a:avLst/>
                    </a:prstGeom>
                    <a:noFill/>
                  </pic:spPr>
                </pic:pic>
              </a:graphicData>
            </a:graphic>
          </wp:anchor>
        </w:drawing>
      </w:r>
    </w:p>
    <w:p>
      <w:pPr>
        <w:sectPr>
          <w:pgSz w:w="11900" w:h="16838" w:orient="portrait"/>
          <w:cols w:equalWidth="0" w:num="1">
            <w:col w:w="9960"/>
          </w:cols>
          <w:pgMar w:left="980" w:top="104" w:right="959" w:bottom="1440" w:gutter="0" w:footer="0" w:header="0"/>
        </w:sectPr>
      </w:pPr>
    </w:p>
    <w:bookmarkStart w:id="11" w:name="page12"/>
    <w:bookmarkEnd w:id="11"/>
    <w:p>
      <w:pPr>
        <w:ind w:left="324" w:right="440" w:hanging="324"/>
        <w:spacing w:after="0" w:line="182" w:lineRule="auto"/>
        <w:tabs>
          <w:tab w:leader="none" w:pos="324" w:val="left"/>
        </w:tabs>
        <w:numPr>
          <w:ilvl w:val="0"/>
          <w:numId w:val="3"/>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Merger and acquisition-related costs represent certain costs associated with acquisitions. These costs, presented on a before-tax effect basis, include the following:</w:t>
      </w:r>
    </w:p>
    <w:p>
      <w:pPr>
        <w:spacing w:after="0" w:line="245" w:lineRule="exact"/>
        <w:rPr>
          <w:sz w:val="20"/>
          <w:szCs w:val="20"/>
          <w:color w:val="auto"/>
        </w:rPr>
      </w:pPr>
    </w:p>
    <w:tbl>
      <w:tblPr>
        <w:tblLayout w:type="fixed"/>
        <w:tblInd w:w="4" w:type="dxa"/>
        <w:tblCellMar>
          <w:top w:w="0" w:type="dxa"/>
          <w:left w:w="0" w:type="dxa"/>
          <w:bottom w:w="0" w:type="dxa"/>
          <w:right w:w="0" w:type="dxa"/>
        </w:tblCellMar>
      </w:tblPr>
      <w:tr>
        <w:trPr>
          <w:trHeight w:val="190"/>
        </w:trPr>
        <w:tc>
          <w:tcPr>
            <w:tcW w:w="4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4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6"/>
                <w:szCs w:val="16"/>
                <w:color w:val="auto"/>
              </w:rPr>
            </w:pPr>
          </w:p>
        </w:tc>
        <w:tc>
          <w:tcPr>
            <w:tcW w:w="2200" w:type="dxa"/>
            <w:vAlign w:val="bottom"/>
            <w:gridSpan w:val="4"/>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26"/>
        </w:trPr>
        <w:tc>
          <w:tcPr>
            <w:tcW w:w="47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60" w:type="dxa"/>
            <w:vAlign w:val="bottom"/>
            <w:tcBorders>
              <w:bottom w:val="single" w:sz="8" w:color="auto"/>
            </w:tcBorders>
          </w:tcPr>
          <w:p>
            <w:pPr>
              <w:spacing w:after="0"/>
              <w:rPr>
                <w:sz w:val="19"/>
                <w:szCs w:val="19"/>
                <w:color w:val="auto"/>
              </w:rPr>
            </w:pPr>
          </w:p>
        </w:tc>
      </w:tr>
      <w:tr>
        <w:trPr>
          <w:trHeight w:val="209"/>
        </w:trPr>
        <w:tc>
          <w:tcPr>
            <w:tcW w:w="4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4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30"/>
        </w:trPr>
        <w:tc>
          <w:tcPr>
            <w:tcW w:w="4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inventory fair value step up</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60,756</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19,065</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168,097</w:t>
            </w: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19,065</w:t>
            </w:r>
          </w:p>
        </w:tc>
      </w:tr>
      <w:tr>
        <w:trPr>
          <w:trHeight w:val="229"/>
        </w:trPr>
        <w:tc>
          <w:tcPr>
            <w:tcW w:w="4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 in fair value of business acquisition liabilities</w:t>
            </w:r>
          </w:p>
        </w:tc>
        <w:tc>
          <w:tcPr>
            <w:tcW w:w="26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(4,133)</w:t>
            </w: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1,470</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8,610</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4,576</w:t>
            </w:r>
          </w:p>
        </w:tc>
      </w:tr>
      <w:tr>
        <w:trPr>
          <w:trHeight w:val="230"/>
        </w:trPr>
        <w:tc>
          <w:tcPr>
            <w:tcW w:w="4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Employee-related costs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3,574</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34,004</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5,031</w:t>
            </w: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34,004</w:t>
            </w:r>
          </w:p>
        </w:tc>
      </w:tr>
      <w:tr>
        <w:trPr>
          <w:trHeight w:val="229"/>
        </w:trPr>
        <w:tc>
          <w:tcPr>
            <w:tcW w:w="4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Other acquisition-related costs </w:t>
            </w:r>
            <w:r>
              <w:rPr>
                <w:rFonts w:ascii="Times New Roman" w:cs="Times New Roman" w:eastAsia="Times New Roman" w:hAnsi="Times New Roman"/>
                <w:sz w:val="8"/>
                <w:szCs w:val="8"/>
                <w:color w:val="auto"/>
              </w:rPr>
              <w:t>(a)</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963</w:t>
            </w:r>
          </w:p>
        </w:tc>
        <w:tc>
          <w:tcPr>
            <w:tcW w:w="1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10,344</w:t>
            </w:r>
          </w:p>
        </w:tc>
        <w:tc>
          <w:tcPr>
            <w:tcW w:w="1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3,422</w:t>
            </w:r>
          </w:p>
        </w:tc>
        <w:tc>
          <w:tcPr>
            <w:tcW w:w="16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14,422</w:t>
            </w:r>
          </w:p>
        </w:tc>
      </w:tr>
      <w:tr>
        <w:trPr>
          <w:trHeight w:val="203"/>
        </w:trPr>
        <w:tc>
          <w:tcPr>
            <w:tcW w:w="488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color w:val="auto"/>
              </w:rPr>
              <w:t>Merger and acquisition-related costs</w:t>
            </w:r>
          </w:p>
        </w:tc>
        <w:tc>
          <w:tcPr>
            <w:tcW w:w="260" w:type="dxa"/>
            <w:vAlign w:val="bottom"/>
          </w:tcPr>
          <w:p>
            <w:pPr>
              <w:jc w:val="right"/>
              <w:ind w:right="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61,160</w:t>
            </w:r>
          </w:p>
        </w:tc>
        <w:tc>
          <w:tcPr>
            <w:tcW w:w="140" w:type="dxa"/>
            <w:vAlign w:val="bottom"/>
          </w:tcPr>
          <w:p>
            <w:pPr>
              <w:spacing w:after="0"/>
              <w:rPr>
                <w:sz w:val="17"/>
                <w:szCs w:val="17"/>
                <w:color w:val="auto"/>
              </w:rPr>
            </w:pP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64,883</w:t>
            </w:r>
          </w:p>
        </w:tc>
        <w:tc>
          <w:tcPr>
            <w:tcW w:w="160" w:type="dxa"/>
            <w:vAlign w:val="bottom"/>
          </w:tcPr>
          <w:p>
            <w:pPr>
              <w:spacing w:after="0"/>
              <w:rPr>
                <w:sz w:val="17"/>
                <w:szCs w:val="17"/>
                <w:color w:val="auto"/>
              </w:rPr>
            </w:pP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185,160</w:t>
            </w:r>
          </w:p>
        </w:tc>
        <w:tc>
          <w:tcPr>
            <w:tcW w:w="160" w:type="dxa"/>
            <w:vAlign w:val="bottom"/>
          </w:tcPr>
          <w:p>
            <w:pPr>
              <w:spacing w:after="0"/>
              <w:rPr>
                <w:sz w:val="17"/>
                <w:szCs w:val="17"/>
                <w:color w:val="auto"/>
              </w:rPr>
            </w:pPr>
          </w:p>
        </w:tc>
        <w:tc>
          <w:tcPr>
            <w:tcW w:w="400" w:type="dxa"/>
            <w:vAlign w:val="bottom"/>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72,067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-140970</wp:posOffset>
            </wp:positionV>
            <wp:extent cx="6309360" cy="1631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309360" cy="163195"/>
                    </a:xfrm>
                    <a:prstGeom prst="rect">
                      <a:avLst/>
                    </a:prstGeom>
                    <a:noFill/>
                  </pic:spPr>
                </pic:pic>
              </a:graphicData>
            </a:graphic>
          </wp:anchor>
        </w:drawing>
      </w:r>
    </w:p>
    <w:p>
      <w:pPr>
        <w:ind w:left="4"/>
        <w:spacing w:after="0"/>
        <w:rPr>
          <w:sz w:val="20"/>
          <w:szCs w:val="20"/>
          <w:color w:val="auto"/>
        </w:rPr>
      </w:pPr>
      <w:r>
        <w:rPr>
          <w:rFonts w:ascii="Times New Roman" w:cs="Times New Roman" w:eastAsia="Times New Roman" w:hAnsi="Times New Roman"/>
          <w:sz w:val="14"/>
          <w:szCs w:val="14"/>
          <w:i w:val="1"/>
          <w:iCs w:val="1"/>
          <w:color w:val="auto"/>
        </w:rPr>
        <w:t>(a) Primarily comprised of legal fees, investment banking and consulting fees.</w:t>
      </w:r>
    </w:p>
    <w:p>
      <w:pPr>
        <w:spacing w:after="0" w:line="200" w:lineRule="exact"/>
        <w:rPr>
          <w:sz w:val="20"/>
          <w:szCs w:val="20"/>
          <w:color w:val="auto"/>
        </w:rPr>
      </w:pPr>
    </w:p>
    <w:p>
      <w:pPr>
        <w:spacing w:after="0" w:line="204"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Non-GAAP Net Income Reconciliation Table:</w:t>
      </w:r>
    </w:p>
    <w:p>
      <w:pPr>
        <w:spacing w:after="0" w:line="200" w:lineRule="exact"/>
        <w:rPr>
          <w:sz w:val="20"/>
          <w:szCs w:val="20"/>
          <w:color w:val="auto"/>
        </w:rPr>
      </w:pPr>
    </w:p>
    <w:p>
      <w:pPr>
        <w:spacing w:after="0" w:line="266" w:lineRule="exact"/>
        <w:rPr>
          <w:sz w:val="20"/>
          <w:szCs w:val="20"/>
          <w:color w:val="auto"/>
        </w:rPr>
      </w:pPr>
    </w:p>
    <w:tbl>
      <w:tblPr>
        <w:tblLayout w:type="fixed"/>
        <w:tblInd w:w="4" w:type="dxa"/>
        <w:tblCellMar>
          <w:top w:w="0" w:type="dxa"/>
          <w:left w:w="0" w:type="dxa"/>
          <w:bottom w:w="0" w:type="dxa"/>
          <w:right w:w="0" w:type="dxa"/>
        </w:tblCellMar>
      </w:tblPr>
      <w:tr>
        <w:trPr>
          <w:trHeight w:val="190"/>
        </w:trPr>
        <w:tc>
          <w:tcPr>
            <w:tcW w:w="45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00" w:type="dxa"/>
            <w:vAlign w:val="bottom"/>
            <w:gridSpan w:val="6"/>
          </w:tcPr>
          <w:p>
            <w:pPr>
              <w:ind w:lef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6"/>
                <w:szCs w:val="16"/>
                <w:color w:val="auto"/>
              </w:rPr>
            </w:pPr>
          </w:p>
        </w:tc>
        <w:tc>
          <w:tcPr>
            <w:tcW w:w="2040" w:type="dxa"/>
            <w:vAlign w:val="bottom"/>
            <w:gridSpan w:val="3"/>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26"/>
        </w:trPr>
        <w:tc>
          <w:tcPr>
            <w:tcW w:w="4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5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5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209"/>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income/(loss)</w:t>
            </w:r>
          </w:p>
        </w:tc>
        <w:tc>
          <w:tcPr>
            <w:tcW w:w="86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51,836</w:t>
            </w: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right w:val="single" w:sz="8" w:color="CCEEFF"/>
            </w:tcBorders>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76,479</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107,839</w:t>
            </w:r>
          </w:p>
        </w:tc>
        <w:tc>
          <w:tcPr>
            <w:tcW w:w="0" w:type="dxa"/>
            <w:vAlign w:val="bottom"/>
          </w:tcPr>
          <w:p>
            <w:pPr>
              <w:spacing w:after="0"/>
              <w:rPr>
                <w:sz w:val="1"/>
                <w:szCs w:val="1"/>
                <w:color w:val="auto"/>
              </w:rPr>
            </w:pPr>
          </w:p>
        </w:tc>
      </w:tr>
      <w:tr>
        <w:trPr>
          <w:trHeight w:val="230"/>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litigation, net</w:t>
            </w: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(676)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2,924</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628</w:t>
            </w:r>
          </w:p>
        </w:tc>
        <w:tc>
          <w:tcPr>
            <w:tcW w:w="3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0" w:type="dxa"/>
            <w:vAlign w:val="bottom"/>
          </w:tcPr>
          <w:p>
            <w:pPr>
              <w:spacing w:after="0"/>
              <w:rPr>
                <w:sz w:val="1"/>
                <w:szCs w:val="1"/>
                <w:color w:val="auto"/>
              </w:rPr>
            </w:pPr>
          </w:p>
        </w:tc>
      </w:tr>
      <w:tr>
        <w:trPr>
          <w:trHeight w:val="229"/>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5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30,076</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13,761</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tcBorders>
              <w:right w:val="single" w:sz="8" w:color="CCEEFF"/>
            </w:tcBorders>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89,461</w:t>
            </w:r>
          </w:p>
        </w:tc>
        <w:tc>
          <w:tcPr>
            <w:tcW w:w="3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22,909</w:t>
            </w:r>
          </w:p>
        </w:tc>
        <w:tc>
          <w:tcPr>
            <w:tcW w:w="0" w:type="dxa"/>
            <w:vAlign w:val="bottom"/>
          </w:tcPr>
          <w:p>
            <w:pPr>
              <w:spacing w:after="0"/>
              <w:rPr>
                <w:sz w:val="1"/>
                <w:szCs w:val="1"/>
                <w:color w:val="auto"/>
              </w:rPr>
            </w:pPr>
          </w:p>
        </w:tc>
      </w:tr>
      <w:tr>
        <w:trPr>
          <w:trHeight w:val="283"/>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Merger and acquisition -related costs </w:t>
            </w:r>
            <w:r>
              <w:rPr>
                <w:rFonts w:ascii="Times New Roman" w:cs="Times New Roman" w:eastAsia="Times New Roman" w:hAnsi="Times New Roman"/>
                <w:sz w:val="8"/>
                <w:szCs w:val="8"/>
                <w:color w:val="auto"/>
              </w:rPr>
              <w:t>(1)</w:t>
            </w: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61,160</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64,883</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185,160</w:t>
            </w:r>
          </w:p>
        </w:tc>
        <w:tc>
          <w:tcPr>
            <w:tcW w:w="3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72,067</w:t>
            </w:r>
          </w:p>
        </w:tc>
        <w:tc>
          <w:tcPr>
            <w:tcW w:w="0" w:type="dxa"/>
            <w:vAlign w:val="bottom"/>
          </w:tcPr>
          <w:p>
            <w:pPr>
              <w:spacing w:after="0"/>
              <w:rPr>
                <w:sz w:val="1"/>
                <w:szCs w:val="1"/>
                <w:color w:val="auto"/>
              </w:rPr>
            </w:pPr>
          </w:p>
        </w:tc>
      </w:tr>
      <w:tr>
        <w:trPr>
          <w:trHeight w:val="230"/>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acquisition-related foreign currency impacts</w:t>
            </w:r>
          </w:p>
        </w:tc>
        <w:tc>
          <w:tcPr>
            <w:tcW w:w="5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(8,912)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2,898</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tcBorders>
              <w:right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(2,354)</w:t>
            </w:r>
          </w:p>
        </w:tc>
        <w:tc>
          <w:tcPr>
            <w:tcW w:w="3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2,898</w:t>
            </w:r>
          </w:p>
        </w:tc>
        <w:tc>
          <w:tcPr>
            <w:tcW w:w="0" w:type="dxa"/>
            <w:vAlign w:val="bottom"/>
          </w:tcPr>
          <w:p>
            <w:pPr>
              <w:spacing w:after="0"/>
              <w:rPr>
                <w:sz w:val="1"/>
                <w:szCs w:val="1"/>
                <w:color w:val="auto"/>
              </w:rPr>
            </w:pPr>
          </w:p>
        </w:tc>
      </w:tr>
      <w:tr>
        <w:trPr>
          <w:trHeight w:val="229"/>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Costs</w:t>
            </w: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6,009</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6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31,542</w:t>
            </w:r>
          </w:p>
        </w:tc>
        <w:tc>
          <w:tcPr>
            <w:tcW w:w="3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gain/(loss) on strategic investments</w:t>
            </w:r>
          </w:p>
        </w:tc>
        <w:tc>
          <w:tcPr>
            <w:tcW w:w="5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tcBorders>
              <w:right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(267)</w:t>
            </w:r>
          </w:p>
        </w:tc>
        <w:tc>
          <w:tcPr>
            <w:tcW w:w="3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0" w:type="dxa"/>
            <w:vAlign w:val="bottom"/>
          </w:tcPr>
          <w:p>
            <w:pPr>
              <w:spacing w:after="0"/>
              <w:rPr>
                <w:sz w:val="1"/>
                <w:szCs w:val="1"/>
                <w:color w:val="auto"/>
              </w:rPr>
            </w:pPr>
          </w:p>
        </w:tc>
      </w:tr>
      <w:tr>
        <w:trPr>
          <w:trHeight w:val="230"/>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Tax effect of adjusting items</w:t>
            </w: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(25,507)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(20,201)</w:t>
            </w:r>
          </w:p>
        </w:tc>
        <w:tc>
          <w:tcPr>
            <w:tcW w:w="240" w:type="dxa"/>
            <w:vAlign w:val="bottom"/>
          </w:tcPr>
          <w:p>
            <w:pPr>
              <w:spacing w:after="0"/>
              <w:rPr>
                <w:sz w:val="19"/>
                <w:szCs w:val="19"/>
                <w:color w:val="auto"/>
              </w:rPr>
            </w:pPr>
          </w:p>
        </w:tc>
        <w:tc>
          <w:tcPr>
            <w:tcW w:w="9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(78,454)</w:t>
            </w:r>
          </w:p>
        </w:tc>
        <w:tc>
          <w:tcPr>
            <w:tcW w:w="3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(23,260)</w:t>
            </w:r>
          </w:p>
        </w:tc>
        <w:tc>
          <w:tcPr>
            <w:tcW w:w="0" w:type="dxa"/>
            <w:vAlign w:val="bottom"/>
          </w:tcPr>
          <w:p>
            <w:pPr>
              <w:spacing w:after="0"/>
              <w:rPr>
                <w:sz w:val="1"/>
                <w:szCs w:val="1"/>
                <w:color w:val="auto"/>
              </w:rPr>
            </w:pPr>
          </w:p>
        </w:tc>
      </w:tr>
      <w:tr>
        <w:trPr>
          <w:trHeight w:val="20"/>
        </w:trPr>
        <w:tc>
          <w:tcPr>
            <w:tcW w:w="450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tcBorders>
              <w:right w:val="single" w:sz="8" w:color="CCEEFF"/>
            </w:tcBorders>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net income/(loss)</w:t>
            </w:r>
          </w:p>
        </w:tc>
        <w:tc>
          <w:tcPr>
            <w:tcW w:w="5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113,986</w:t>
            </w:r>
          </w:p>
        </w:tc>
        <w:tc>
          <w:tcPr>
            <w:tcW w:w="80" w:type="dxa"/>
            <w:vAlign w:val="bottom"/>
            <w:vMerge w:val="continue"/>
            <w:shd w:val="clear" w:color="auto" w:fill="CCEEFF"/>
          </w:tcPr>
          <w:p>
            <w:pPr>
              <w:spacing w:after="0"/>
              <w:rPr>
                <w:sz w:val="19"/>
                <w:szCs w:val="19"/>
                <w:color w:val="auto"/>
              </w:rPr>
            </w:pPr>
          </w:p>
        </w:tc>
        <w:tc>
          <w:tcPr>
            <w:tcW w:w="4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65,531</w:t>
            </w:r>
          </w:p>
        </w:tc>
        <w:tc>
          <w:tcPr>
            <w:tcW w:w="140" w:type="dxa"/>
            <w:vAlign w:val="bottom"/>
            <w:vMerge w:val="continue"/>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right w:val="single" w:sz="8" w:color="CCEEFF"/>
            </w:tcBorders>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302,195</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182,905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3231515</wp:posOffset>
            </wp:positionH>
            <wp:positionV relativeFrom="paragraph">
              <wp:posOffset>-8255</wp:posOffset>
            </wp:positionV>
            <wp:extent cx="307721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077210" cy="17145"/>
                    </a:xfrm>
                    <a:prstGeom prst="rect">
                      <a:avLst/>
                    </a:prstGeom>
                    <a:noFill/>
                  </pic:spPr>
                </pic:pic>
              </a:graphicData>
            </a:graphic>
          </wp:anchor>
        </w:drawing>
      </w:r>
    </w:p>
    <w:p>
      <w:pPr>
        <w:ind w:left="204" w:hanging="204"/>
        <w:spacing w:after="0"/>
        <w:tabs>
          <w:tab w:leader="none" w:pos="204" w:val="left"/>
        </w:tabs>
        <w:numPr>
          <w:ilvl w:val="0"/>
          <w:numId w:val="4"/>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6"/>
          <w:szCs w:val="16"/>
          <w:i w:val="1"/>
          <w:iCs w:val="1"/>
          <w:color w:val="auto"/>
        </w:rPr>
        <w:t>see footnote 1 to the Non-GAAP Adjusted EBITDA Reconciliation Table above for the detail of these costs</w:t>
      </w:r>
    </w:p>
    <w:p>
      <w:pPr>
        <w:spacing w:after="0" w:line="334"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Non-GAAP Gross Profit Reconciliation Table:</w:t>
      </w:r>
    </w:p>
    <w:p>
      <w:pPr>
        <w:spacing w:after="0" w:line="263" w:lineRule="exact"/>
        <w:rPr>
          <w:sz w:val="20"/>
          <w:szCs w:val="20"/>
          <w:color w:val="auto"/>
        </w:rPr>
      </w:pPr>
    </w:p>
    <w:tbl>
      <w:tblPr>
        <w:tblLayout w:type="fixed"/>
        <w:tblInd w:w="4" w:type="dxa"/>
        <w:tblCellMar>
          <w:top w:w="0" w:type="dxa"/>
          <w:left w:w="0" w:type="dxa"/>
          <w:bottom w:w="0" w:type="dxa"/>
          <w:right w:w="0" w:type="dxa"/>
        </w:tblCellMar>
      </w:tblPr>
      <w:tr>
        <w:trPr>
          <w:trHeight w:val="190"/>
        </w:trPr>
        <w:tc>
          <w:tcPr>
            <w:tcW w:w="5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40" w:type="dxa"/>
            <w:vAlign w:val="bottom"/>
            <w:gridSpan w:val="5"/>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6"/>
                <w:szCs w:val="16"/>
                <w:color w:val="auto"/>
              </w:rPr>
            </w:pPr>
          </w:p>
        </w:tc>
        <w:tc>
          <w:tcPr>
            <w:tcW w:w="2160" w:type="dxa"/>
            <w:vAlign w:val="bottom"/>
            <w:gridSpan w:val="5"/>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0" w:type="dxa"/>
            <w:vAlign w:val="bottom"/>
          </w:tcPr>
          <w:p>
            <w:pPr>
              <w:spacing w:after="0"/>
              <w:rPr>
                <w:sz w:val="16"/>
                <w:szCs w:val="16"/>
                <w:color w:val="auto"/>
              </w:rPr>
            </w:pPr>
          </w:p>
        </w:tc>
      </w:tr>
      <w:tr>
        <w:trPr>
          <w:trHeight w:val="226"/>
        </w:trPr>
        <w:tc>
          <w:tcPr>
            <w:tcW w:w="5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gridSpan w:val="5"/>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4"/>
          </w:tcPr>
          <w:p>
            <w:pPr>
              <w:jc w:val="center"/>
              <w:ind w:left="45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0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10"/>
        </w:trPr>
        <w:tc>
          <w:tcPr>
            <w:tcW w:w="5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0" w:type="dxa"/>
            <w:vAlign w:val="bottom"/>
          </w:tcPr>
          <w:p>
            <w:pPr>
              <w:spacing w:after="0"/>
              <w:rPr>
                <w:sz w:val="18"/>
                <w:szCs w:val="18"/>
                <w:color w:val="auto"/>
              </w:rPr>
            </w:pPr>
          </w:p>
        </w:tc>
      </w:tr>
      <w:tr>
        <w:trPr>
          <w:trHeight w:val="210"/>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625,705</w:t>
            </w:r>
          </w:p>
        </w:tc>
        <w:tc>
          <w:tcPr>
            <w:tcW w:w="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383,639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1,862,062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951,942</w:t>
            </w:r>
          </w:p>
        </w:tc>
        <w:tc>
          <w:tcPr>
            <w:tcW w:w="20" w:type="dxa"/>
            <w:vAlign w:val="bottom"/>
          </w:tcPr>
          <w:p>
            <w:pPr>
              <w:spacing w:after="0"/>
              <w:rPr>
                <w:sz w:val="18"/>
                <w:szCs w:val="18"/>
                <w:color w:val="auto"/>
              </w:rPr>
            </w:pPr>
          </w:p>
        </w:tc>
      </w:tr>
      <w:tr>
        <w:trPr>
          <w:trHeight w:val="229"/>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 (exclusive of amortization of intangibles)</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270,515</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135,390</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772,042</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282,688</w:t>
            </w:r>
          </w:p>
        </w:tc>
        <w:tc>
          <w:tcPr>
            <w:tcW w:w="20" w:type="dxa"/>
            <w:vAlign w:val="bottom"/>
          </w:tcPr>
          <w:p>
            <w:pPr>
              <w:spacing w:after="0"/>
              <w:rPr>
                <w:sz w:val="19"/>
                <w:szCs w:val="19"/>
                <w:color w:val="auto"/>
              </w:rPr>
            </w:pPr>
          </w:p>
        </w:tc>
      </w:tr>
      <w:tr>
        <w:trPr>
          <w:trHeight w:val="230"/>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14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23,841</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9,526</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66,593</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15,408</w:t>
            </w:r>
          </w:p>
        </w:tc>
        <w:tc>
          <w:tcPr>
            <w:tcW w:w="20" w:type="dxa"/>
            <w:vAlign w:val="bottom"/>
          </w:tcPr>
          <w:p>
            <w:pPr>
              <w:spacing w:after="0"/>
              <w:rPr>
                <w:sz w:val="19"/>
                <w:szCs w:val="19"/>
                <w:color w:val="auto"/>
              </w:rPr>
            </w:pPr>
          </w:p>
        </w:tc>
      </w:tr>
      <w:tr>
        <w:trPr>
          <w:trHeight w:val="210"/>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331,349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238,723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1,023,427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653,846</w:t>
            </w:r>
          </w:p>
        </w:tc>
        <w:tc>
          <w:tcPr>
            <w:tcW w:w="20" w:type="dxa"/>
            <w:vAlign w:val="bottom"/>
          </w:tcPr>
          <w:p>
            <w:pPr>
              <w:spacing w:after="0"/>
              <w:rPr>
                <w:sz w:val="18"/>
                <w:szCs w:val="18"/>
                <w:color w:val="auto"/>
              </w:rPr>
            </w:pPr>
          </w:p>
        </w:tc>
      </w:tr>
      <w:tr>
        <w:trPr>
          <w:trHeight w:val="230"/>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inventory fair value step up</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60,756</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19,065</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168,097</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19,065</w:t>
            </w:r>
          </w:p>
        </w:tc>
        <w:tc>
          <w:tcPr>
            <w:tcW w:w="20" w:type="dxa"/>
            <w:vAlign w:val="bottom"/>
          </w:tcPr>
          <w:p>
            <w:pPr>
              <w:spacing w:after="0"/>
              <w:rPr>
                <w:sz w:val="19"/>
                <w:szCs w:val="19"/>
                <w:color w:val="auto"/>
              </w:rPr>
            </w:pPr>
          </w:p>
        </w:tc>
      </w:tr>
      <w:tr>
        <w:trPr>
          <w:trHeight w:val="229"/>
        </w:trPr>
        <w:tc>
          <w:tcPr>
            <w:tcW w:w="5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23,841</w:t>
            </w: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9,526</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66,593</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15,408</w:t>
            </w:r>
          </w:p>
        </w:tc>
        <w:tc>
          <w:tcPr>
            <w:tcW w:w="20" w:type="dxa"/>
            <w:vAlign w:val="bottom"/>
          </w:tcPr>
          <w:p>
            <w:pPr>
              <w:spacing w:after="0"/>
              <w:rPr>
                <w:sz w:val="19"/>
                <w:szCs w:val="19"/>
                <w:color w:val="auto"/>
              </w:rPr>
            </w:pPr>
          </w:p>
        </w:tc>
      </w:tr>
      <w:tr>
        <w:trPr>
          <w:trHeight w:val="217"/>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Gross Profit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415,946</w:t>
            </w:r>
          </w:p>
        </w:tc>
        <w:tc>
          <w:tcPr>
            <w:tcW w:w="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267,314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1,258,117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688,319</w:t>
            </w:r>
          </w:p>
        </w:tc>
        <w:tc>
          <w:tcPr>
            <w:tcW w:w="20" w:type="dxa"/>
            <w:vAlign w:val="bottom"/>
          </w:tcPr>
          <w:p>
            <w:pPr>
              <w:spacing w:after="0"/>
              <w:rPr>
                <w:sz w:val="18"/>
                <w:szCs w:val="18"/>
                <w:color w:val="auto"/>
              </w:rPr>
            </w:pPr>
          </w:p>
        </w:tc>
      </w:tr>
      <w:tr>
        <w:trPr>
          <w:trHeight w:val="216"/>
        </w:trPr>
        <w:tc>
          <w:tcPr>
            <w:tcW w:w="51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 % of Net Sales</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20" w:type="dxa"/>
            <w:vAlign w:val="bottom"/>
          </w:tcPr>
          <w:p>
            <w:pPr>
              <w:spacing w:after="0"/>
              <w:rPr>
                <w:sz w:val="19"/>
                <w:szCs w:val="19"/>
                <w:color w:val="auto"/>
              </w:rPr>
            </w:pPr>
          </w:p>
        </w:tc>
      </w:tr>
      <w:tr>
        <w:trPr>
          <w:trHeight w:val="257"/>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Adjusted Gross Profit % of Net Sales</w:t>
            </w:r>
          </w:p>
        </w:tc>
        <w:tc>
          <w:tcPr>
            <w:tcW w:w="1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20" w:type="dxa"/>
            <w:vAlign w:val="bottom"/>
          </w:tcPr>
          <w:p>
            <w:pPr>
              <w:spacing w:after="0"/>
              <w:rPr>
                <w:sz w:val="22"/>
                <w:szCs w:val="22"/>
                <w:color w:val="auto"/>
              </w:rPr>
            </w:pPr>
          </w:p>
        </w:tc>
      </w:tr>
      <w:tr>
        <w:trPr>
          <w:trHeight w:val="364"/>
        </w:trPr>
        <w:tc>
          <w:tcPr>
            <w:tcW w:w="51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r>
        <w:trPr>
          <w:trHeight w:val="20"/>
        </w:trPr>
        <w:tc>
          <w:tcPr>
            <w:tcW w:w="516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96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94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94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260" w:type="dxa"/>
            <w:vAlign w:val="bottom"/>
            <w:tcBorders>
              <w:bottom w:val="single" w:sz="8" w:color="EEEEEE"/>
            </w:tcBorders>
          </w:tcPr>
          <w:p>
            <w:pPr>
              <w:spacing w:after="0" w:line="20" w:lineRule="exact"/>
              <w:rPr>
                <w:sz w:val="1"/>
                <w:szCs w:val="1"/>
                <w:color w:val="auto"/>
              </w:rPr>
            </w:pPr>
          </w:p>
        </w:tc>
        <w:tc>
          <w:tcPr>
            <w:tcW w:w="70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6304915</wp:posOffset>
            </wp:positionH>
            <wp:positionV relativeFrom="paragraph">
              <wp:posOffset>-38100</wp:posOffset>
            </wp:positionV>
            <wp:extent cx="33655" cy="514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5143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-38100</wp:posOffset>
            </wp:positionV>
            <wp:extent cx="33655" cy="514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51435"/>
                    </a:xfrm>
                    <a:prstGeom prst="rect">
                      <a:avLst/>
                    </a:prstGeom>
                    <a:noFill/>
                  </pic:spPr>
                </pic:pic>
              </a:graphicData>
            </a:graphic>
          </wp:anchor>
        </w:drawing>
      </w:r>
    </w:p>
    <w:p>
      <w:pPr>
        <w:sectPr>
          <w:pgSz w:w="11900" w:h="16838" w:orient="portrait"/>
          <w:cols w:equalWidth="0" w:num="1">
            <w:col w:w="9964"/>
          </w:cols>
          <w:pgMar w:left="976" w:top="108" w:right="959" w:bottom="1440" w:gutter="0" w:footer="0" w:header="0"/>
        </w:sectPr>
      </w:pPr>
    </w:p>
    <w:bookmarkStart w:id="12" w:name="page13"/>
    <w:bookmarkEnd w:id="12"/>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Non-GAAP Diluted Earnings Per Share Reconciliation Table:</w:t>
      </w:r>
    </w:p>
    <w:p>
      <w:pPr>
        <w:spacing w:after="0" w:line="200" w:lineRule="exact"/>
        <w:rPr>
          <w:sz w:val="20"/>
          <w:szCs w:val="20"/>
          <w:color w:val="auto"/>
        </w:rPr>
      </w:pPr>
    </w:p>
    <w:p>
      <w:pPr>
        <w:spacing w:after="0" w:line="266" w:lineRule="exact"/>
        <w:rPr>
          <w:sz w:val="20"/>
          <w:szCs w:val="20"/>
          <w:color w:val="auto"/>
        </w:rPr>
      </w:pPr>
    </w:p>
    <w:tbl>
      <w:tblPr>
        <w:tblLayout w:type="fixed"/>
        <w:tblInd w:w="4" w:type="dxa"/>
        <w:tblCellMar>
          <w:top w:w="0" w:type="dxa"/>
          <w:left w:w="0" w:type="dxa"/>
          <w:bottom w:w="0" w:type="dxa"/>
          <w:right w:w="0" w:type="dxa"/>
        </w:tblCellMar>
      </w:tblPr>
      <w:tr>
        <w:trPr>
          <w:trHeight w:val="190"/>
        </w:trPr>
        <w:tc>
          <w:tcPr>
            <w:tcW w:w="5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2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00" w:type="dxa"/>
            <w:vAlign w:val="bottom"/>
            <w:gridSpan w:val="4"/>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26"/>
        </w:trPr>
        <w:tc>
          <w:tcPr>
            <w:tcW w:w="5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3"/>
          </w:tcPr>
          <w:p>
            <w:pPr>
              <w:ind w:left="4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210"/>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earnings per share, as reported</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0.56</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0.98</w:t>
            </w:r>
          </w:p>
        </w:tc>
        <w:tc>
          <w:tcPr>
            <w:tcW w:w="0" w:type="dxa"/>
            <w:vAlign w:val="bottom"/>
          </w:tcPr>
          <w:p>
            <w:pPr>
              <w:spacing w:after="0"/>
              <w:rPr>
                <w:sz w:val="1"/>
                <w:szCs w:val="1"/>
                <w:color w:val="auto"/>
              </w:rPr>
            </w:pPr>
          </w:p>
        </w:tc>
      </w:tr>
      <w:tr>
        <w:trPr>
          <w:trHeight w:val="229"/>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Dilution attributable to Convertible Notes</w:t>
            </w:r>
          </w:p>
        </w:tc>
        <w:tc>
          <w:tcPr>
            <w:tcW w:w="24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litigation, net</w:t>
            </w: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(0.00)</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30"/>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0.65</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0" w:type="dxa"/>
            <w:vAlign w:val="bottom"/>
          </w:tcPr>
          <w:p>
            <w:pPr>
              <w:spacing w:after="0"/>
              <w:rPr>
                <w:sz w:val="1"/>
                <w:szCs w:val="1"/>
                <w:color w:val="auto"/>
              </w:rPr>
            </w:pPr>
          </w:p>
        </w:tc>
      </w:tr>
      <w:tr>
        <w:trPr>
          <w:trHeight w:val="283"/>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Merger and acquisition -related costs </w:t>
            </w:r>
            <w:r>
              <w:rPr>
                <w:rFonts w:ascii="Times New Roman" w:cs="Times New Roman" w:eastAsia="Times New Roman" w:hAnsi="Times New Roman"/>
                <w:sz w:val="8"/>
                <w:szCs w:val="8"/>
                <w:color w:val="auto"/>
              </w:rPr>
              <w:t>(1)</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0.56</w:t>
            </w:r>
          </w:p>
        </w:tc>
        <w:tc>
          <w:tcPr>
            <w:tcW w:w="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1.35</w:t>
            </w:r>
          </w:p>
        </w:tc>
        <w:tc>
          <w:tcPr>
            <w:tcW w:w="14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0.68</w:t>
            </w:r>
          </w:p>
        </w:tc>
        <w:tc>
          <w:tcPr>
            <w:tcW w:w="0" w:type="dxa"/>
            <w:vAlign w:val="bottom"/>
          </w:tcPr>
          <w:p>
            <w:pPr>
              <w:spacing w:after="0"/>
              <w:rPr>
                <w:sz w:val="1"/>
                <w:szCs w:val="1"/>
                <w:color w:val="auto"/>
              </w:rPr>
            </w:pPr>
          </w:p>
        </w:tc>
      </w:tr>
      <w:tr>
        <w:trPr>
          <w:trHeight w:val="229"/>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Net (gain) loss from strategic investments</w:t>
            </w:r>
          </w:p>
        </w:tc>
        <w:tc>
          <w:tcPr>
            <w:tcW w:w="24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(0.00)</w:t>
            </w: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acquisition-related foreign currency impacts</w:t>
            </w: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(0.06)</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(0.02)</w:t>
            </w: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29"/>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costs</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0.23</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effect of adjusting items</w:t>
            </w: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(0.18)</w:t>
            </w:r>
          </w:p>
        </w:tc>
        <w:tc>
          <w:tcPr>
            <w:tcW w:w="2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(0.18)</w:t>
            </w: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(0.57)</w:t>
            </w: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Non-GAAP diluted earnings per share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0.83</w:t>
            </w:r>
          </w:p>
        </w:tc>
        <w:tc>
          <w:tcPr>
            <w:tcW w:w="100" w:type="dxa"/>
            <w:vAlign w:val="bottom"/>
            <w:vMerge w:val="continue"/>
          </w:tcPr>
          <w:p>
            <w:pPr>
              <w:spacing w:after="0"/>
              <w:rPr>
                <w:sz w:val="19"/>
                <w:szCs w:val="19"/>
                <w:color w:val="auto"/>
              </w:rPr>
            </w:pPr>
          </w:p>
        </w:tc>
        <w:tc>
          <w:tcPr>
            <w:tcW w:w="2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0.57</w:t>
            </w:r>
          </w:p>
        </w:tc>
        <w:tc>
          <w:tcPr>
            <w:tcW w:w="100" w:type="dxa"/>
            <w:vAlign w:val="bottom"/>
            <w:vMerge w:val="continue"/>
          </w:tcPr>
          <w:p>
            <w:pPr>
              <w:spacing w:after="0"/>
              <w:rPr>
                <w:sz w:val="19"/>
                <w:szCs w:val="19"/>
                <w:color w:val="auto"/>
              </w:rPr>
            </w:pPr>
          </w:p>
        </w:tc>
        <w:tc>
          <w:tcPr>
            <w:tcW w:w="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2.20</w:t>
            </w:r>
          </w:p>
        </w:tc>
        <w:tc>
          <w:tcPr>
            <w:tcW w:w="140" w:type="dxa"/>
            <w:vAlign w:val="bottom"/>
            <w:vMerge w:val="continue"/>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3308985</wp:posOffset>
            </wp:positionH>
            <wp:positionV relativeFrom="paragraph">
              <wp:posOffset>-10795</wp:posOffset>
            </wp:positionV>
            <wp:extent cx="300037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000375" cy="17145"/>
                    </a:xfrm>
                    <a:prstGeom prst="rect">
                      <a:avLst/>
                    </a:prstGeom>
                    <a:noFill/>
                  </pic:spPr>
                </pic:pic>
              </a:graphicData>
            </a:graphic>
          </wp:anchor>
        </w:drawing>
      </w:r>
    </w:p>
    <w:p>
      <w:pPr>
        <w:ind w:left="4"/>
        <w:spacing w:after="0" w:line="211" w:lineRule="auto"/>
        <w:rPr>
          <w:sz w:val="20"/>
          <w:szCs w:val="20"/>
          <w:color w:val="auto"/>
        </w:rPr>
      </w:pPr>
      <w:r>
        <w:rPr>
          <w:rFonts w:ascii="Times New Roman" w:cs="Times New Roman" w:eastAsia="Times New Roman" w:hAnsi="Times New Roman"/>
          <w:sz w:val="16"/>
          <w:szCs w:val="16"/>
          <w:i w:val="1"/>
          <w:iCs w:val="1"/>
          <w:color w:val="auto"/>
        </w:rPr>
        <w:t>*amounts might not add due to rounding</w:t>
      </w:r>
    </w:p>
    <w:p>
      <w:pPr>
        <w:ind w:left="204" w:hanging="204"/>
        <w:spacing w:after="0"/>
        <w:tabs>
          <w:tab w:leader="none" w:pos="204" w:val="left"/>
        </w:tabs>
        <w:numPr>
          <w:ilvl w:val="0"/>
          <w:numId w:val="5"/>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6"/>
          <w:szCs w:val="16"/>
          <w:i w:val="1"/>
          <w:iCs w:val="1"/>
          <w:color w:val="auto"/>
        </w:rPr>
        <w:t>see footnote 1 to the Non-GAAP Adjusted EBITDA Reconciliation Table above for the detail of these costs</w:t>
      </w:r>
    </w:p>
    <w:p>
      <w:pPr>
        <w:spacing w:after="0" w:line="208" w:lineRule="exact"/>
        <w:rPr>
          <w:rFonts w:ascii="Times New Roman" w:cs="Times New Roman" w:eastAsia="Times New Roman" w:hAnsi="Times New Roman"/>
          <w:sz w:val="14"/>
          <w:szCs w:val="14"/>
          <w:i w:val="1"/>
          <w:iCs w:val="1"/>
          <w:color w:val="auto"/>
        </w:rPr>
      </w:pPr>
    </w:p>
    <w:p>
      <w:pPr>
        <w:ind w:left="3064"/>
        <w:spacing w:after="0"/>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8"/>
          <w:szCs w:val="18"/>
          <w:b w:val="1"/>
          <w:bCs w:val="1"/>
          <w:color w:val="auto"/>
        </w:rPr>
        <w:t>Non-GAAP Free Cash Flow Reconciliation Table:</w:t>
      </w:r>
    </w:p>
    <w:p>
      <w:pPr>
        <w:spacing w:after="0" w:line="200" w:lineRule="exact"/>
        <w:rPr>
          <w:sz w:val="20"/>
          <w:szCs w:val="20"/>
          <w:color w:val="auto"/>
        </w:rPr>
      </w:pPr>
    </w:p>
    <w:p>
      <w:pPr>
        <w:spacing w:after="0" w:line="252" w:lineRule="exact"/>
        <w:rPr>
          <w:sz w:val="20"/>
          <w:szCs w:val="20"/>
          <w:color w:val="auto"/>
        </w:rPr>
      </w:pPr>
    </w:p>
    <w:tbl>
      <w:tblPr>
        <w:tblLayout w:type="fixed"/>
        <w:tblInd w:w="4" w:type="dxa"/>
        <w:tblCellMar>
          <w:top w:w="0" w:type="dxa"/>
          <w:left w:w="0" w:type="dxa"/>
          <w:bottom w:w="0" w:type="dxa"/>
          <w:right w:w="0" w:type="dxa"/>
        </w:tblCellMar>
      </w:tblPr>
      <w:tr>
        <w:trPr>
          <w:trHeight w:val="190"/>
        </w:trPr>
        <w:tc>
          <w:tcPr>
            <w:tcW w:w="40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8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6"/>
                <w:szCs w:val="16"/>
                <w:color w:val="auto"/>
              </w:rPr>
            </w:pPr>
          </w:p>
        </w:tc>
        <w:tc>
          <w:tcPr>
            <w:tcW w:w="218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26"/>
        </w:trPr>
        <w:tc>
          <w:tcPr>
            <w:tcW w:w="40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210"/>
        </w:trPr>
        <w:tc>
          <w:tcPr>
            <w:tcW w:w="4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0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bottom w:val="single" w:sz="8" w:color="CCEEFF"/>
            </w:tcBorders>
          </w:tcPr>
          <w:p>
            <w:pPr>
              <w:spacing w:after="0"/>
              <w:rPr>
                <w:sz w:val="18"/>
                <w:szCs w:val="18"/>
                <w:color w:val="auto"/>
              </w:rPr>
            </w:pPr>
          </w:p>
        </w:tc>
      </w:tr>
      <w:tr>
        <w:trPr>
          <w:trHeight w:val="209"/>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3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203,655</w:t>
            </w:r>
          </w:p>
        </w:tc>
        <w:tc>
          <w:tcPr>
            <w:tcW w:w="1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center"/>
              <w:ind w:left="155"/>
              <w:spacing w:after="0"/>
              <w:rPr>
                <w:sz w:val="20"/>
                <w:szCs w:val="20"/>
                <w:color w:val="auto"/>
              </w:rPr>
            </w:pPr>
            <w:r>
              <w:rPr>
                <w:rFonts w:ascii="Times New Roman" w:cs="Times New Roman" w:eastAsia="Times New Roman" w:hAnsi="Times New Roman"/>
                <w:sz w:val="18"/>
                <w:szCs w:val="18"/>
                <w:color w:val="auto"/>
                <w:w w:val="96"/>
              </w:rPr>
              <w:t>50,484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right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310,299</w:t>
            </w: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138,825</w:t>
            </w:r>
          </w:p>
        </w:tc>
        <w:tc>
          <w:tcPr>
            <w:tcW w:w="140" w:type="dxa"/>
            <w:vAlign w:val="bottom"/>
            <w:shd w:val="clear" w:color="auto" w:fill="CCEEFF"/>
          </w:tcPr>
          <w:p>
            <w:pPr>
              <w:spacing w:after="0"/>
              <w:rPr>
                <w:sz w:val="18"/>
                <w:szCs w:val="18"/>
                <w:color w:val="auto"/>
              </w:rPr>
            </w:pPr>
          </w:p>
        </w:tc>
      </w:tr>
      <w:tr>
        <w:trPr>
          <w:trHeight w:val="229"/>
        </w:trPr>
        <w:tc>
          <w:tcPr>
            <w:tcW w:w="4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0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w w:val="97"/>
              </w:rPr>
              <w:t>(41,952)</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center"/>
              <w:ind w:left="135"/>
              <w:spacing w:after="0"/>
              <w:rPr>
                <w:sz w:val="20"/>
                <w:szCs w:val="20"/>
                <w:color w:val="auto"/>
              </w:rPr>
            </w:pPr>
            <w:r>
              <w:rPr>
                <w:rFonts w:ascii="Times New Roman" w:cs="Times New Roman" w:eastAsia="Times New Roman" w:hAnsi="Times New Roman"/>
                <w:sz w:val="18"/>
                <w:szCs w:val="18"/>
                <w:color w:val="auto"/>
              </w:rPr>
              <w:t>(21,534)</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(98,318)</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(55,393)</w:t>
            </w:r>
          </w:p>
        </w:tc>
        <w:tc>
          <w:tcPr>
            <w:tcW w:w="140" w:type="dxa"/>
            <w:vAlign w:val="bottom"/>
            <w:tcBorders>
              <w:bottom w:val="single" w:sz="8" w:color="CCEEFF"/>
            </w:tcBorders>
          </w:tcPr>
          <w:p>
            <w:pPr>
              <w:spacing w:after="0"/>
              <w:rPr>
                <w:sz w:val="19"/>
                <w:szCs w:val="19"/>
                <w:color w:val="auto"/>
              </w:rPr>
            </w:pPr>
          </w:p>
        </w:tc>
      </w:tr>
      <w:tr>
        <w:trPr>
          <w:trHeight w:val="210"/>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Free cash flow</w:t>
            </w: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161,703</w:t>
            </w:r>
          </w:p>
        </w:tc>
        <w:tc>
          <w:tcPr>
            <w:tcW w:w="1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center"/>
              <w:ind w:left="155"/>
              <w:spacing w:after="0"/>
              <w:rPr>
                <w:sz w:val="20"/>
                <w:szCs w:val="20"/>
                <w:color w:val="auto"/>
              </w:rPr>
            </w:pPr>
            <w:r>
              <w:rPr>
                <w:rFonts w:ascii="Times New Roman" w:cs="Times New Roman" w:eastAsia="Times New Roman" w:hAnsi="Times New Roman"/>
                <w:sz w:val="18"/>
                <w:szCs w:val="18"/>
                <w:color w:val="auto"/>
                <w:w w:val="96"/>
              </w:rPr>
              <w:t>28,950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right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211,981</w:t>
            </w: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83,432</w:t>
            </w:r>
          </w:p>
        </w:tc>
        <w:tc>
          <w:tcPr>
            <w:tcW w:w="140" w:type="dxa"/>
            <w:vAlign w:val="bottom"/>
            <w:shd w:val="clear" w:color="auto" w:fill="CCEEFF"/>
          </w:tcPr>
          <w:p>
            <w:pPr>
              <w:spacing w:after="0"/>
              <w:rPr>
                <w:sz w:val="18"/>
                <w:szCs w:val="18"/>
                <w:color w:val="auto"/>
              </w:rPr>
            </w:pPr>
          </w:p>
        </w:tc>
      </w:tr>
      <w:tr>
        <w:trPr>
          <w:trHeight w:val="27"/>
        </w:trPr>
        <w:tc>
          <w:tcPr>
            <w:tcW w:w="40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304"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Non-GAAP Net Sales on a Constant Currency Basis Comparative Table:</w:t>
      </w:r>
    </w:p>
    <w:p>
      <w:pPr>
        <w:spacing w:after="0" w:line="200" w:lineRule="exact"/>
        <w:rPr>
          <w:sz w:val="20"/>
          <w:szCs w:val="20"/>
          <w:color w:val="auto"/>
        </w:rPr>
      </w:pPr>
    </w:p>
    <w:p>
      <w:pPr>
        <w:spacing w:after="0" w:line="267"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29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40" w:type="dxa"/>
            <w:vAlign w:val="bottom"/>
            <w:gridSpan w:val="4"/>
            <w:vMerge w:val="restart"/>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3"/>
                <w:szCs w:val="13"/>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Constant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9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40" w:type="dxa"/>
            <w:vAlign w:val="bottom"/>
            <w:gridSpan w:val="4"/>
            <w:vMerge w:val="continue"/>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Impact on</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9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center"/>
              <w:ind w:left="43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percentages)</w:t>
            </w:r>
          </w:p>
        </w:tc>
        <w:tc>
          <w:tcPr>
            <w:tcW w:w="8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Growth</w:t>
            </w: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Period Net Sales</w:t>
            </w: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Growth</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0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495,789</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309,315</w:t>
            </w:r>
          </w:p>
        </w:tc>
        <w:tc>
          <w:tcPr>
            <w:tcW w:w="1120" w:type="dxa"/>
            <w:vAlign w:val="bottom"/>
            <w:gridSpan w:val="2"/>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8"/>
              </w:rPr>
              <w:t>60.3%</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8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129,916</w:t>
            </w:r>
          </w:p>
        </w:tc>
        <w:tc>
          <w:tcPr>
            <w:tcW w:w="1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74,324</w:t>
            </w:r>
          </w:p>
        </w:tc>
        <w:tc>
          <w:tcPr>
            <w:tcW w:w="112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8"/>
              </w:rPr>
              <w:t>74.8%</w:t>
            </w: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(1,030)</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76.2%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9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sales</w:t>
            </w:r>
          </w:p>
        </w:tc>
        <w:tc>
          <w:tcPr>
            <w:tcW w:w="8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625,705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383,639</w:t>
            </w:r>
          </w:p>
        </w:tc>
        <w:tc>
          <w:tcPr>
            <w:tcW w:w="1120" w:type="dxa"/>
            <w:vAlign w:val="bottom"/>
            <w:tcBorders>
              <w:top w:val="single" w:sz="8" w:color="CCEEFF"/>
              <w:bottom w:val="single" w:sz="8" w:color="CCEEFF"/>
            </w:tcBorders>
            <w:gridSpan w:val="2"/>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8"/>
              </w:rPr>
              <w:t>63.1%</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40" w:type="dxa"/>
            <w:vAlign w:val="bottom"/>
            <w:tcBorders>
              <w:top w:val="single" w:sz="8" w:color="CCEEFF"/>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15"/>
        </w:trPr>
        <w:tc>
          <w:tcPr>
            <w:tcW w:w="29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40" w:type="dxa"/>
            <w:vAlign w:val="bottom"/>
            <w:gridSpan w:val="4"/>
            <w:vMerge w:val="restart"/>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40" w:type="dxa"/>
            <w:vAlign w:val="bottom"/>
          </w:tcPr>
          <w:p>
            <w:pPr>
              <w:spacing w:after="0"/>
              <w:rPr>
                <w:sz w:val="24"/>
                <w:szCs w:val="24"/>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Constant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9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40" w:type="dxa"/>
            <w:vAlign w:val="bottom"/>
            <w:gridSpan w:val="4"/>
            <w:vMerge w:val="continue"/>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Impact on</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9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center"/>
              <w:ind w:left="43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percentages)</w:t>
            </w:r>
          </w:p>
        </w:tc>
        <w:tc>
          <w:tcPr>
            <w:tcW w:w="8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Growth</w:t>
            </w: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Period Net Sales</w:t>
            </w: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Growth</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0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1,478,174</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788,924</w:t>
            </w:r>
          </w:p>
        </w:tc>
        <w:tc>
          <w:tcPr>
            <w:tcW w:w="1120" w:type="dxa"/>
            <w:vAlign w:val="bottom"/>
            <w:gridSpan w:val="2"/>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8"/>
              </w:rPr>
              <w:t>87.4%</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87.4%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383,888</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163,018</w:t>
            </w:r>
          </w:p>
        </w:tc>
        <w:tc>
          <w:tcPr>
            <w:tcW w:w="112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7"/>
              </w:rPr>
              <w:t>135.5%</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(6,600)</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139.5%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9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sales</w:t>
            </w:r>
          </w:p>
        </w:tc>
        <w:tc>
          <w:tcPr>
            <w:tcW w:w="8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1,862,062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951,942</w:t>
            </w:r>
          </w:p>
        </w:tc>
        <w:tc>
          <w:tcPr>
            <w:tcW w:w="1120" w:type="dxa"/>
            <w:vAlign w:val="bottom"/>
            <w:tcBorders>
              <w:top w:val="single" w:sz="8" w:color="CCEEFF"/>
              <w:bottom w:val="single" w:sz="8" w:color="CCEEFF"/>
            </w:tcBorders>
            <w:gridSpan w:val="2"/>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8"/>
              </w:rPr>
              <w:t>95.6%</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(6,600)</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40" w:type="dxa"/>
            <w:vAlign w:val="bottom"/>
            <w:tcBorders>
              <w:top w:val="single" w:sz="8" w:color="CCEEFF"/>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9"/>
        </w:trPr>
        <w:tc>
          <w:tcPr>
            <w:tcW w:w="29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920" w:type="dxa"/>
            <w:vAlign w:val="bottom"/>
            <w:tcBorders>
              <w:bottom w:val="single" w:sz="8" w:color="EEEEEE"/>
            </w:tcBorders>
          </w:tcPr>
          <w:p>
            <w:pPr>
              <w:spacing w:after="0" w:line="20" w:lineRule="exact"/>
              <w:rPr>
                <w:sz w:val="1"/>
                <w:szCs w:val="1"/>
                <w:color w:val="auto"/>
              </w:rPr>
            </w:pPr>
          </w:p>
        </w:tc>
        <w:tc>
          <w:tcPr>
            <w:tcW w:w="84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92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400" w:type="dxa"/>
            <w:vAlign w:val="bottom"/>
            <w:tcBorders>
              <w:bottom w:val="single" w:sz="8" w:color="EEEEEE"/>
            </w:tcBorders>
          </w:tcPr>
          <w:p>
            <w:pPr>
              <w:spacing w:after="0" w:line="20" w:lineRule="exact"/>
              <w:rPr>
                <w:sz w:val="1"/>
                <w:szCs w:val="1"/>
                <w:color w:val="auto"/>
              </w:rPr>
            </w:pPr>
          </w:p>
        </w:tc>
        <w:tc>
          <w:tcPr>
            <w:tcW w:w="76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98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98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104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6304915</wp:posOffset>
            </wp:positionH>
            <wp:positionV relativeFrom="paragraph">
              <wp:posOffset>-38100</wp:posOffset>
            </wp:positionV>
            <wp:extent cx="33655" cy="514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5143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-38100</wp:posOffset>
            </wp:positionV>
            <wp:extent cx="33655" cy="514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51435"/>
                    </a:xfrm>
                    <a:prstGeom prst="rect">
                      <a:avLst/>
                    </a:prstGeom>
                    <a:noFill/>
                  </pic:spPr>
                </pic:pic>
              </a:graphicData>
            </a:graphic>
          </wp:anchor>
        </w:drawing>
      </w:r>
    </w:p>
    <w:p>
      <w:pPr>
        <w:sectPr>
          <w:pgSz w:w="11900" w:h="16838" w:orient="portrait"/>
          <w:cols w:equalWidth="0" w:num="1">
            <w:col w:w="9964"/>
          </w:cols>
          <w:pgMar w:left="976" w:top="104" w:right="959" w:bottom="1440" w:gutter="0" w:footer="0" w:header="0"/>
        </w:sectPr>
      </w:pPr>
    </w:p>
    <w:bookmarkStart w:id="13" w:name="page14"/>
    <w:bookmarkEnd w:id="13"/>
    <w:p>
      <w:pPr>
        <w:ind w:right="120"/>
        <w:spacing w:after="0"/>
        <w:rPr>
          <w:sz w:val="20"/>
          <w:szCs w:val="20"/>
          <w:color w:val="auto"/>
        </w:rPr>
      </w:pPr>
      <w:r>
        <w:rPr>
          <w:rFonts w:ascii="Times New Roman" w:cs="Times New Roman" w:eastAsia="Times New Roman" w:hAnsi="Times New Roman"/>
          <w:sz w:val="18"/>
          <w:szCs w:val="18"/>
          <w:b w:val="1"/>
          <w:bCs w:val="1"/>
          <w:i w:val="1"/>
          <w:iCs w:val="1"/>
          <w:color w:val="auto"/>
        </w:rPr>
        <w:t>The following table reconciles previously disclosed Non-GAAP fully diluted earnings per share guidance to current Non-GAAP fully diluted earnings per share guidance.</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Non-GAAP Fully Diluted Earnings per Share Guidance Adjustments:</w:t>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8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80" w:type="dxa"/>
            <w:vAlign w:val="bottom"/>
          </w:tcPr>
          <w:p>
            <w:pPr>
              <w:spacing w:after="0"/>
              <w:rPr>
                <w:sz w:val="16"/>
                <w:szCs w:val="16"/>
                <w:color w:val="auto"/>
              </w:rPr>
            </w:pPr>
          </w:p>
        </w:tc>
      </w:tr>
      <w:tr>
        <w:trPr>
          <w:trHeight w:val="226"/>
        </w:trPr>
        <w:tc>
          <w:tcPr>
            <w:tcW w:w="6620" w:type="dxa"/>
            <w:vAlign w:val="bottom"/>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80" w:type="dxa"/>
            <w:vAlign w:val="bottom"/>
            <w:tcBorders>
              <w:bottom w:val="single" w:sz="8" w:color="auto"/>
            </w:tcBorders>
          </w:tcPr>
          <w:p>
            <w:pPr>
              <w:spacing w:after="0"/>
              <w:rPr>
                <w:sz w:val="19"/>
                <w:szCs w:val="19"/>
                <w:color w:val="auto"/>
              </w:rPr>
            </w:pPr>
          </w:p>
        </w:tc>
      </w:tr>
      <w:tr>
        <w:trPr>
          <w:trHeight w:val="209"/>
        </w:trPr>
        <w:tc>
          <w:tcPr>
            <w:tcW w:w="662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Low End</w:t>
            </w:r>
          </w:p>
        </w:tc>
        <w:tc>
          <w:tcPr>
            <w:tcW w:w="50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High End</w:t>
            </w:r>
          </w:p>
        </w:tc>
      </w:tr>
      <w:tr>
        <w:trPr>
          <w:trHeight w:val="209"/>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Previously disclosed non-GAAP fully diluted earnings per share guidance</w:t>
            </w:r>
          </w:p>
        </w:tc>
        <w:tc>
          <w:tcPr>
            <w:tcW w:w="1060" w:type="dxa"/>
            <w:vAlign w:val="bottom"/>
            <w:shd w:val="clear" w:color="auto" w:fill="CCEEFF"/>
          </w:tcPr>
          <w:p>
            <w:pPr>
              <w:jc w:val="right"/>
              <w:ind w:right="900"/>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2.80</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center"/>
              <w:ind w:left="574"/>
              <w:spacing w:after="0"/>
              <w:rPr>
                <w:sz w:val="20"/>
                <w:szCs w:val="20"/>
                <w:color w:val="auto"/>
              </w:rPr>
            </w:pPr>
            <w:r>
              <w:rPr>
                <w:rFonts w:ascii="Times New Roman" w:cs="Times New Roman" w:eastAsia="Times New Roman" w:hAnsi="Times New Roman"/>
                <w:sz w:val="18"/>
                <w:szCs w:val="18"/>
                <w:color w:val="auto"/>
                <w:w w:val="95"/>
              </w:rPr>
              <w:t>2.90</w:t>
            </w:r>
          </w:p>
        </w:tc>
      </w:tr>
      <w:tr>
        <w:trPr>
          <w:trHeight w:val="230"/>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Removal of Acquisition of in-process research and development adjustment</w:t>
            </w:r>
          </w:p>
        </w:tc>
        <w:tc>
          <w:tcPr>
            <w:tcW w:w="1060" w:type="dxa"/>
            <w:vAlign w:val="bottom"/>
          </w:tcPr>
          <w:p>
            <w:pPr>
              <w:spacing w:after="0"/>
              <w:rPr>
                <w:sz w:val="19"/>
                <w:szCs w:val="19"/>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(0.09)</w:t>
            </w:r>
          </w:p>
        </w:tc>
        <w:tc>
          <w:tcPr>
            <w:tcW w:w="480" w:type="dxa"/>
            <w:vAlign w:val="bottom"/>
          </w:tcPr>
          <w:p>
            <w:pPr>
              <w:spacing w:after="0"/>
              <w:rPr>
                <w:sz w:val="19"/>
                <w:szCs w:val="19"/>
                <w:color w:val="auto"/>
              </w:rPr>
            </w:pPr>
          </w:p>
        </w:tc>
        <w:tc>
          <w:tcPr>
            <w:tcW w:w="1080" w:type="dxa"/>
            <w:vAlign w:val="bottom"/>
          </w:tcPr>
          <w:p>
            <w:pPr>
              <w:jc w:val="center"/>
              <w:ind w:left="554"/>
              <w:spacing w:after="0"/>
              <w:rPr>
                <w:sz w:val="20"/>
                <w:szCs w:val="20"/>
                <w:color w:val="auto"/>
              </w:rPr>
            </w:pPr>
            <w:r>
              <w:rPr>
                <w:rFonts w:ascii="Times New Roman" w:cs="Times New Roman" w:eastAsia="Times New Roman" w:hAnsi="Times New Roman"/>
                <w:sz w:val="18"/>
                <w:szCs w:val="18"/>
                <w:color w:val="auto"/>
              </w:rPr>
              <w:t>(0.09)</w:t>
            </w:r>
          </w:p>
        </w:tc>
      </w:tr>
      <w:tr>
        <w:trPr>
          <w:trHeight w:val="283"/>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to guidance</w:t>
            </w:r>
          </w:p>
        </w:tc>
        <w:tc>
          <w:tcPr>
            <w:tcW w:w="1060" w:type="dxa"/>
            <w:vAlign w:val="bottom"/>
            <w:tcBorders>
              <w:bottom w:val="single" w:sz="8" w:color="auto"/>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0.19</w:t>
            </w:r>
          </w:p>
        </w:tc>
        <w:tc>
          <w:tcPr>
            <w:tcW w:w="200" w:type="dxa"/>
            <w:vAlign w:val="bottom"/>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center"/>
              <w:ind w:left="574"/>
              <w:spacing w:after="0"/>
              <w:rPr>
                <w:sz w:val="20"/>
                <w:szCs w:val="20"/>
                <w:color w:val="auto"/>
              </w:rPr>
            </w:pPr>
            <w:r>
              <w:rPr>
                <w:rFonts w:ascii="Times New Roman" w:cs="Times New Roman" w:eastAsia="Times New Roman" w:hAnsi="Times New Roman"/>
                <w:sz w:val="18"/>
                <w:szCs w:val="18"/>
                <w:color w:val="auto"/>
                <w:w w:val="95"/>
              </w:rPr>
              <w:t>0.19</w:t>
            </w:r>
          </w:p>
        </w:tc>
      </w:tr>
      <w:tr>
        <w:trPr>
          <w:trHeight w:val="217"/>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Current non-GAAP fully diluted earnings per share guidance</w:t>
            </w:r>
          </w:p>
        </w:tc>
        <w:tc>
          <w:tcPr>
            <w:tcW w:w="1060" w:type="dxa"/>
            <w:vAlign w:val="bottom"/>
            <w:tcBorders>
              <w:bottom w:val="single" w:sz="8" w:color="auto"/>
            </w:tcBorders>
          </w:tcPr>
          <w:p>
            <w:pPr>
              <w:jc w:val="right"/>
              <w:ind w:right="900"/>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2.90</w:t>
            </w:r>
          </w:p>
        </w:tc>
        <w:tc>
          <w:tcPr>
            <w:tcW w:w="200" w:type="dxa"/>
            <w:vAlign w:val="bottom"/>
          </w:tcPr>
          <w:p>
            <w:pPr>
              <w:spacing w:after="0"/>
              <w:rPr>
                <w:sz w:val="18"/>
                <w:szCs w:val="18"/>
                <w:color w:val="auto"/>
              </w:rPr>
            </w:pPr>
          </w:p>
        </w:tc>
        <w:tc>
          <w:tcPr>
            <w:tcW w:w="48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tcPr>
          <w:p>
            <w:pPr>
              <w:jc w:val="center"/>
              <w:ind w:left="574"/>
              <w:spacing w:after="0"/>
              <w:rPr>
                <w:sz w:val="20"/>
                <w:szCs w:val="20"/>
                <w:color w:val="auto"/>
              </w:rPr>
            </w:pPr>
            <w:r>
              <w:rPr>
                <w:rFonts w:ascii="Times New Roman" w:cs="Times New Roman" w:eastAsia="Times New Roman" w:hAnsi="Times New Roman"/>
                <w:sz w:val="18"/>
                <w:szCs w:val="18"/>
                <w:color w:val="auto"/>
                <w:w w:val="95"/>
              </w:rPr>
              <w:t>3.00</w:t>
            </w:r>
          </w:p>
        </w:tc>
      </w:tr>
    </w:tbl>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Contact</w:t>
      </w:r>
      <w:r>
        <w:rPr>
          <w:rFonts w:ascii="Times New Roman" w:cs="Times New Roman" w:eastAsia="Times New Roman" w:hAnsi="Times New Roman"/>
          <w:sz w:val="18"/>
          <w:szCs w:val="18"/>
          <w:b w:val="1"/>
          <w:bCs w:val="1"/>
          <w:color w:val="auto"/>
        </w:rPr>
        <w:t>:</w:t>
      </w:r>
    </w:p>
    <w:p>
      <w:pPr>
        <w:spacing w:after="0" w:line="226" w:lineRule="auto"/>
        <w:rPr>
          <w:sz w:val="20"/>
          <w:szCs w:val="20"/>
          <w:color w:val="auto"/>
        </w:rPr>
      </w:pPr>
      <w:r>
        <w:rPr>
          <w:rFonts w:ascii="Times New Roman" w:cs="Times New Roman" w:eastAsia="Times New Roman" w:hAnsi="Times New Roman"/>
          <w:sz w:val="18"/>
          <w:szCs w:val="18"/>
          <w:color w:val="auto"/>
        </w:rPr>
        <w:t>Brian Kearns</w:t>
      </w:r>
    </w:p>
    <w:p>
      <w:pPr>
        <w:spacing w:after="0" w:line="203" w:lineRule="auto"/>
        <w:rPr>
          <w:sz w:val="20"/>
          <w:szCs w:val="20"/>
          <w:color w:val="auto"/>
        </w:rPr>
      </w:pPr>
      <w:r>
        <w:rPr>
          <w:rFonts w:ascii="Times New Roman" w:cs="Times New Roman" w:eastAsia="Times New Roman" w:hAnsi="Times New Roman"/>
          <w:sz w:val="18"/>
          <w:szCs w:val="18"/>
          <w:color w:val="auto"/>
        </w:rPr>
        <w:t>Senior Vice President, Business Development and Investor Relations</w:t>
      </w:r>
    </w:p>
    <w:p>
      <w:pPr>
        <w:spacing w:after="0" w:line="204" w:lineRule="auto"/>
        <w:rPr>
          <w:sz w:val="20"/>
          <w:szCs w:val="20"/>
          <w:color w:val="auto"/>
        </w:rPr>
      </w:pPr>
      <w:r>
        <w:rPr>
          <w:rFonts w:ascii="Times New Roman" w:cs="Times New Roman" w:eastAsia="Times New Roman" w:hAnsi="Times New Roman"/>
          <w:sz w:val="18"/>
          <w:szCs w:val="18"/>
          <w:color w:val="auto"/>
        </w:rPr>
        <w:t>Phone: (610) 930-1800</w:t>
      </w:r>
    </w:p>
    <w:p>
      <w:pPr>
        <w:spacing w:after="0" w:line="219" w:lineRule="auto"/>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investors@globusmedical.com</w:t>
      </w:r>
    </w:p>
    <w:p>
      <w:pPr>
        <w:spacing w:after="0"/>
        <w:rPr>
          <w:sz w:val="20"/>
          <w:szCs w:val="20"/>
          <w:color w:val="auto"/>
        </w:rPr>
      </w:pPr>
      <w:r>
        <w:rPr>
          <w:rFonts w:ascii="Times New Roman" w:cs="Times New Roman" w:eastAsia="Times New Roman" w:hAnsi="Times New Roman"/>
          <w:sz w:val="18"/>
          <w:szCs w:val="18"/>
          <w:u w:val="single" w:color="auto"/>
          <w:color w:val="auto"/>
        </w:rPr>
        <w:t>www.globusmedical.com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111760</wp:posOffset>
            </wp:positionV>
            <wp:extent cx="6351905" cy="514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351905" cy="51435"/>
                    </a:xfrm>
                    <a:prstGeom prst="rect">
                      <a:avLst/>
                    </a:prstGeom>
                    <a:noFill/>
                  </pic:spPr>
                </pic:pic>
              </a:graphicData>
            </a:graphic>
          </wp:anchor>
        </w:drawing>
      </w:r>
    </w:p>
    <w:sectPr>
      <w:pgSz w:w="11900" w:h="16838" w:orient="portrait"/>
      <w:cols w:equalWidth="0" w:num="1">
        <w:col w:w="9940"/>
      </w:cols>
      <w:pgMar w:left="980" w:top="104" w:right="9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2024-11-05T15:46:47Z</dcterms:created>
  <dcterms:modified xsi:type="dcterms:W3CDTF">2024-11-05T15:46:47Z</dcterms:modified>
</cp:coreProperties>
</file>